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F9CF" w14:textId="3F8487AF" w:rsidR="00334DB9" w:rsidRPr="00373DC2" w:rsidRDefault="00334DB9" w:rsidP="00504AB3">
      <w:pPr>
        <w:spacing w:line="240" w:lineRule="auto"/>
        <w:jc w:val="center"/>
        <w:rPr>
          <w:rFonts w:cstheme="minorHAnsi"/>
          <w:b/>
        </w:rPr>
      </w:pPr>
      <w:bookmarkStart w:id="0" w:name="_Hlk146034546"/>
      <w:r w:rsidRPr="00373DC2">
        <w:rPr>
          <w:rFonts w:cstheme="minorHAnsi"/>
          <w:b/>
        </w:rPr>
        <w:t>Bundesministerium</w:t>
      </w:r>
    </w:p>
    <w:p w14:paraId="4BA54307" w14:textId="77777777" w:rsidR="00334DB9" w:rsidRPr="00373DC2" w:rsidRDefault="00334DB9" w:rsidP="00504AB3">
      <w:pPr>
        <w:spacing w:line="240" w:lineRule="auto"/>
        <w:jc w:val="center"/>
        <w:rPr>
          <w:rFonts w:cstheme="minorHAnsi"/>
          <w:b/>
        </w:rPr>
      </w:pPr>
      <w:r w:rsidRPr="00373DC2">
        <w:rPr>
          <w:rFonts w:cstheme="minorHAnsi"/>
          <w:b/>
        </w:rPr>
        <w:t xml:space="preserve">für </w:t>
      </w:r>
      <w:r w:rsidR="008505EF" w:rsidRPr="00373DC2">
        <w:rPr>
          <w:rFonts w:cstheme="minorHAnsi"/>
          <w:b/>
        </w:rPr>
        <w:t>Wirtschaft und Klimaschutz</w:t>
      </w:r>
    </w:p>
    <w:p w14:paraId="1E0952AA" w14:textId="77777777" w:rsidR="00CC4B89" w:rsidRPr="00373DC2" w:rsidRDefault="00334DB9" w:rsidP="00504AB3">
      <w:pPr>
        <w:spacing w:line="240" w:lineRule="auto"/>
        <w:jc w:val="center"/>
        <w:rPr>
          <w:rFonts w:cstheme="minorHAnsi"/>
        </w:rPr>
      </w:pPr>
      <w:bookmarkStart w:id="1" w:name="_Hlk134026970"/>
      <w:r w:rsidRPr="00373DC2">
        <w:rPr>
          <w:rFonts w:cstheme="minorHAnsi"/>
        </w:rPr>
        <w:t>Richtlinie</w:t>
      </w:r>
    </w:p>
    <w:p w14:paraId="0FDDF934" w14:textId="568E3901" w:rsidR="00CC4B89" w:rsidRPr="00373DC2" w:rsidRDefault="00686436" w:rsidP="00504AB3">
      <w:pPr>
        <w:spacing w:line="240" w:lineRule="auto"/>
        <w:jc w:val="center"/>
        <w:rPr>
          <w:rFonts w:cstheme="minorHAnsi"/>
        </w:rPr>
      </w:pPr>
      <w:r w:rsidRPr="00373DC2">
        <w:rPr>
          <w:rFonts w:cstheme="minorHAnsi"/>
        </w:rPr>
        <w:t>für die Bunde</w:t>
      </w:r>
      <w:bookmarkStart w:id="2" w:name="_GoBack"/>
      <w:bookmarkEnd w:id="2"/>
      <w:r w:rsidRPr="00373DC2">
        <w:rPr>
          <w:rFonts w:cstheme="minorHAnsi"/>
        </w:rPr>
        <w:t xml:space="preserve">sförderung für Dekarbonisierung </w:t>
      </w:r>
      <w:r w:rsidR="00EC42BB" w:rsidRPr="00373DC2">
        <w:rPr>
          <w:rFonts w:cstheme="minorHAnsi"/>
        </w:rPr>
        <w:t xml:space="preserve">und </w:t>
      </w:r>
      <w:r w:rsidRPr="00373DC2">
        <w:rPr>
          <w:rFonts w:cstheme="minorHAnsi"/>
        </w:rPr>
        <w:t xml:space="preserve">Carbon Management </w:t>
      </w:r>
    </w:p>
    <w:bookmarkEnd w:id="1"/>
    <w:p w14:paraId="7CBEF819" w14:textId="447FD559" w:rsidR="00334DB9" w:rsidRPr="00373DC2" w:rsidRDefault="00334DB9" w:rsidP="00504AB3">
      <w:pPr>
        <w:spacing w:line="240" w:lineRule="auto"/>
        <w:jc w:val="center"/>
        <w:rPr>
          <w:rFonts w:cstheme="minorHAnsi"/>
        </w:rPr>
      </w:pPr>
      <w:r w:rsidRPr="00373DC2">
        <w:rPr>
          <w:rFonts w:cstheme="minorHAnsi"/>
        </w:rPr>
        <w:t>(</w:t>
      </w:r>
      <w:bookmarkStart w:id="3" w:name="_Hlk134027030"/>
      <w:r w:rsidRPr="00373DC2">
        <w:rPr>
          <w:rFonts w:cstheme="minorHAnsi"/>
        </w:rPr>
        <w:t xml:space="preserve">Förderrichtlinie </w:t>
      </w:r>
      <w:bookmarkEnd w:id="3"/>
      <w:r w:rsidR="00686436" w:rsidRPr="00373DC2">
        <w:rPr>
          <w:rFonts w:cstheme="minorHAnsi"/>
        </w:rPr>
        <w:t xml:space="preserve">Bundesförderung </w:t>
      </w:r>
      <w:r w:rsidR="00C74B47" w:rsidRPr="00373DC2">
        <w:rPr>
          <w:rFonts w:cstheme="minorHAnsi"/>
        </w:rPr>
        <w:t>Industrie</w:t>
      </w:r>
      <w:r w:rsidR="0037449F" w:rsidRPr="00373DC2">
        <w:rPr>
          <w:rFonts w:cstheme="minorHAnsi"/>
        </w:rPr>
        <w:t xml:space="preserve"> und </w:t>
      </w:r>
      <w:r w:rsidR="007D6631" w:rsidRPr="00373DC2">
        <w:rPr>
          <w:rFonts w:cstheme="minorHAnsi"/>
        </w:rPr>
        <w:t>Klimaschutz</w:t>
      </w:r>
      <w:r w:rsidR="00C74B47" w:rsidRPr="00373DC2">
        <w:rPr>
          <w:rFonts w:cstheme="minorHAnsi"/>
        </w:rPr>
        <w:t>)</w:t>
      </w:r>
    </w:p>
    <w:p w14:paraId="4540C680" w14:textId="0CEA4A7F" w:rsidR="00334DB9" w:rsidRPr="00373DC2" w:rsidRDefault="00FF70F5" w:rsidP="00504AB3">
      <w:pPr>
        <w:spacing w:line="240" w:lineRule="auto"/>
        <w:jc w:val="center"/>
        <w:rPr>
          <w:rFonts w:cstheme="minorHAnsi"/>
        </w:rPr>
      </w:pPr>
      <w:r w:rsidRPr="00373DC2">
        <w:rPr>
          <w:rFonts w:cstheme="minorHAnsi"/>
        </w:rPr>
        <w:t xml:space="preserve">Stand: </w:t>
      </w:r>
      <w:r w:rsidR="00E52D88" w:rsidRPr="00373DC2">
        <w:rPr>
          <w:rFonts w:cstheme="minorHAnsi"/>
        </w:rPr>
        <w:t xml:space="preserve"> </w:t>
      </w:r>
      <w:r w:rsidR="00382811">
        <w:rPr>
          <w:rFonts w:cstheme="minorHAnsi"/>
        </w:rPr>
        <w:t>1</w:t>
      </w:r>
      <w:r w:rsidR="0025560B">
        <w:rPr>
          <w:rFonts w:cstheme="minorHAnsi"/>
        </w:rPr>
        <w:t>3</w:t>
      </w:r>
      <w:r w:rsidR="00382811">
        <w:rPr>
          <w:rFonts w:cstheme="minorHAnsi"/>
        </w:rPr>
        <w:t>. Oktober</w:t>
      </w:r>
      <w:r w:rsidR="00314ECE" w:rsidRPr="00373DC2">
        <w:rPr>
          <w:rFonts w:cstheme="minorHAnsi"/>
        </w:rPr>
        <w:t xml:space="preserve"> </w:t>
      </w:r>
      <w:r w:rsidRPr="00373DC2">
        <w:rPr>
          <w:rFonts w:cstheme="minorHAnsi"/>
        </w:rPr>
        <w:t>2023</w:t>
      </w:r>
    </w:p>
    <w:p w14:paraId="238BB28E" w14:textId="71BDC6C6" w:rsidR="00334DB9" w:rsidRPr="00373DC2" w:rsidRDefault="00334DB9" w:rsidP="00504AB3">
      <w:pPr>
        <w:spacing w:line="240" w:lineRule="auto"/>
        <w:rPr>
          <w:rFonts w:cstheme="minorHAnsi"/>
          <w:b/>
        </w:rPr>
      </w:pPr>
      <w:r w:rsidRPr="00373DC2">
        <w:rPr>
          <w:rFonts w:cstheme="minorHAnsi"/>
          <w:b/>
        </w:rPr>
        <w:t>Präambel</w:t>
      </w:r>
    </w:p>
    <w:p w14:paraId="66CF0619" w14:textId="35E8D73A" w:rsidR="00572DA4" w:rsidRPr="00373DC2" w:rsidRDefault="00D9502E" w:rsidP="00504AB3">
      <w:pPr>
        <w:pStyle w:val="Indent1"/>
        <w:spacing w:line="240" w:lineRule="auto"/>
        <w:ind w:left="0"/>
        <w:rPr>
          <w:color w:val="000000" w:themeColor="text1"/>
        </w:rPr>
      </w:pPr>
      <w:bookmarkStart w:id="4" w:name="_Hlk111907362"/>
      <w:r w:rsidRPr="00373DC2">
        <w:rPr>
          <w:color w:val="000000" w:themeColor="text1"/>
        </w:rPr>
        <w:t>Die Europäische Union</w:t>
      </w:r>
      <w:r w:rsidR="00B90F2B">
        <w:rPr>
          <w:color w:val="000000" w:themeColor="text1"/>
        </w:rPr>
        <w:t xml:space="preserve"> (EU)</w:t>
      </w:r>
      <w:r w:rsidRPr="00373DC2">
        <w:rPr>
          <w:color w:val="000000" w:themeColor="text1"/>
        </w:rPr>
        <w:t xml:space="preserve"> strebt an,</w:t>
      </w:r>
      <w:r w:rsidR="00572DA4" w:rsidRPr="00373DC2">
        <w:rPr>
          <w:color w:val="000000" w:themeColor="text1"/>
        </w:rPr>
        <w:t xml:space="preserve"> bis zum Jahr 2050 klimaneutral </w:t>
      </w:r>
      <w:r w:rsidRPr="00373DC2">
        <w:rPr>
          <w:color w:val="000000" w:themeColor="text1"/>
        </w:rPr>
        <w:t>zu werden</w:t>
      </w:r>
      <w:r w:rsidR="00A82DBF">
        <w:rPr>
          <w:color w:val="000000" w:themeColor="text1"/>
        </w:rPr>
        <w:t>.</w:t>
      </w:r>
      <w:r w:rsidRPr="00373DC2">
        <w:rPr>
          <w:color w:val="000000" w:themeColor="text1"/>
        </w:rPr>
        <w:t xml:space="preserve"> </w:t>
      </w:r>
      <w:r w:rsidR="00B90F2B">
        <w:rPr>
          <w:color w:val="000000" w:themeColor="text1"/>
        </w:rPr>
        <w:t xml:space="preserve">Teilweise </w:t>
      </w:r>
      <w:r w:rsidRPr="00373DC2">
        <w:rPr>
          <w:color w:val="000000" w:themeColor="text1"/>
        </w:rPr>
        <w:t xml:space="preserve">legt </w:t>
      </w:r>
      <w:r w:rsidR="00B90F2B">
        <w:rPr>
          <w:color w:val="000000" w:themeColor="text1"/>
        </w:rPr>
        <w:t xml:space="preserve">die EU </w:t>
      </w:r>
      <w:r w:rsidRPr="00373DC2">
        <w:rPr>
          <w:color w:val="000000" w:themeColor="text1"/>
        </w:rPr>
        <w:t>verbindliche Reduktionsziele fest</w:t>
      </w:r>
      <w:r w:rsidR="00445167" w:rsidRPr="00373DC2">
        <w:rPr>
          <w:color w:val="000000" w:themeColor="text1"/>
        </w:rPr>
        <w:t>, wonach Deutschland seine Treibhausgasemission bis 2030 im Vergleich zu 2005 um 50</w:t>
      </w:r>
      <w:r w:rsidR="00A63819">
        <w:rPr>
          <w:color w:val="000000" w:themeColor="text1"/>
        </w:rPr>
        <w:t xml:space="preserve"> Prozent</w:t>
      </w:r>
      <w:r w:rsidR="00A63819" w:rsidRPr="00373DC2">
        <w:rPr>
          <w:color w:val="000000" w:themeColor="text1"/>
        </w:rPr>
        <w:t xml:space="preserve"> </w:t>
      </w:r>
      <w:r w:rsidR="00445167" w:rsidRPr="00373DC2">
        <w:rPr>
          <w:color w:val="000000" w:themeColor="text1"/>
        </w:rPr>
        <w:t>reduzieren muss.</w:t>
      </w:r>
      <w:r w:rsidRPr="00373DC2">
        <w:rPr>
          <w:rStyle w:val="Funotenzeichen"/>
          <w:color w:val="000000" w:themeColor="text1"/>
        </w:rPr>
        <w:footnoteReference w:id="2"/>
      </w:r>
      <w:r w:rsidR="00572DA4" w:rsidRPr="00373DC2">
        <w:rPr>
          <w:color w:val="000000" w:themeColor="text1"/>
        </w:rPr>
        <w:t xml:space="preserve"> Nach dem Bundes</w:t>
      </w:r>
      <w:r w:rsidR="00B13F73" w:rsidRPr="00373DC2">
        <w:rPr>
          <w:color w:val="000000" w:themeColor="text1"/>
        </w:rPr>
        <w:t>-K</w:t>
      </w:r>
      <w:r w:rsidR="00572DA4" w:rsidRPr="00373DC2">
        <w:rPr>
          <w:color w:val="000000" w:themeColor="text1"/>
        </w:rPr>
        <w:t>limaschutzgesetz müssen die Treibhausgasemissionen bis 2030 um mindestens 65 </w:t>
      </w:r>
      <w:r w:rsidR="00A63819">
        <w:rPr>
          <w:color w:val="000000" w:themeColor="text1"/>
        </w:rPr>
        <w:t>Prozent</w:t>
      </w:r>
      <w:r w:rsidR="00A63819" w:rsidRPr="00373DC2">
        <w:rPr>
          <w:color w:val="000000" w:themeColor="text1"/>
        </w:rPr>
        <w:t xml:space="preserve"> </w:t>
      </w:r>
      <w:r w:rsidR="00572DA4" w:rsidRPr="00373DC2">
        <w:rPr>
          <w:color w:val="000000" w:themeColor="text1"/>
        </w:rPr>
        <w:t>und bis 2040 um mindestens 88 </w:t>
      </w:r>
      <w:r w:rsidR="00B704E6">
        <w:rPr>
          <w:color w:val="000000" w:themeColor="text1"/>
        </w:rPr>
        <w:t>Prozent</w:t>
      </w:r>
      <w:r w:rsidR="00B704E6" w:rsidRPr="00373DC2">
        <w:rPr>
          <w:color w:val="000000" w:themeColor="text1"/>
        </w:rPr>
        <w:t xml:space="preserve"> </w:t>
      </w:r>
      <w:r w:rsidR="00572DA4" w:rsidRPr="00373DC2">
        <w:rPr>
          <w:color w:val="000000" w:themeColor="text1"/>
        </w:rPr>
        <w:t xml:space="preserve">gegenüber 1990 reduziert werden, bis 2045 muss Klimaneutralität erreicht werden. Mit Blick auf das nationale Klimaneutralitätsziel und die Vorgaben des </w:t>
      </w:r>
      <w:r w:rsidR="00572DA4" w:rsidRPr="00373DC2">
        <w:rPr>
          <w:rFonts w:eastAsia="Calibri"/>
          <w:color w:val="000000" w:themeColor="text1"/>
        </w:rPr>
        <w:t>Emissionshandelssystems der Europäischen Union für den Stromsektor und die emissionsintensive Industrie</w:t>
      </w:r>
      <w:r w:rsidR="00572DA4" w:rsidRPr="00373DC2">
        <w:rPr>
          <w:color w:val="000000" w:themeColor="text1"/>
        </w:rPr>
        <w:t xml:space="preserve"> (EU ETS)</w:t>
      </w:r>
      <w:r w:rsidR="00445167" w:rsidRPr="00373DC2">
        <w:rPr>
          <w:rStyle w:val="Funotenzeichen"/>
          <w:color w:val="000000" w:themeColor="text1"/>
        </w:rPr>
        <w:footnoteReference w:id="3"/>
      </w:r>
      <w:r w:rsidR="00572DA4" w:rsidRPr="00373DC2">
        <w:rPr>
          <w:color w:val="000000" w:themeColor="text1"/>
        </w:rPr>
        <w:t xml:space="preserve"> verbleiben </w:t>
      </w:r>
      <w:r w:rsidR="00317DAE" w:rsidRPr="00373DC2">
        <w:rPr>
          <w:color w:val="000000" w:themeColor="text1"/>
        </w:rPr>
        <w:t xml:space="preserve">rund </w:t>
      </w:r>
      <w:r w:rsidR="00572DA4" w:rsidRPr="00373DC2">
        <w:rPr>
          <w:color w:val="000000" w:themeColor="text1"/>
        </w:rPr>
        <w:t xml:space="preserve">zwei Dekaden für die Transformation der Industrie zur Klimaneutralität. </w:t>
      </w:r>
      <w:r w:rsidR="0037638F" w:rsidRPr="00373DC2">
        <w:rPr>
          <w:szCs w:val="24"/>
        </w:rPr>
        <w:t xml:space="preserve">Um die energie- und klimapolitischen Ziele im Industriesektor zu erreichen, ist der </w:t>
      </w:r>
      <w:r w:rsidR="00317DAE" w:rsidRPr="00373DC2">
        <w:rPr>
          <w:szCs w:val="24"/>
        </w:rPr>
        <w:t xml:space="preserve">breite </w:t>
      </w:r>
      <w:r w:rsidR="0037638F" w:rsidRPr="00373DC2">
        <w:rPr>
          <w:szCs w:val="24"/>
        </w:rPr>
        <w:t>Einsatz innovativer und effizienter Technologien erforderlich.</w:t>
      </w:r>
    </w:p>
    <w:p w14:paraId="2F29CF8A" w14:textId="02992E3B" w:rsidR="00572DA4" w:rsidRPr="00373DC2" w:rsidRDefault="00572DA4" w:rsidP="00504AB3">
      <w:pPr>
        <w:pStyle w:val="Indent1"/>
        <w:spacing w:line="240" w:lineRule="auto"/>
        <w:ind w:left="0"/>
        <w:rPr>
          <w:color w:val="000000" w:themeColor="text1"/>
        </w:rPr>
      </w:pPr>
      <w:bookmarkStart w:id="5" w:name="_Hlk111907394"/>
      <w:bookmarkEnd w:id="4"/>
      <w:r w:rsidRPr="00373DC2">
        <w:rPr>
          <w:color w:val="000000" w:themeColor="text1"/>
        </w:rPr>
        <w:t xml:space="preserve">Die gesamtwirtschaftlichen Kosten des Klimawandels, der durch die heute vorherrschenden Produktionsverfahren mitverursacht wird, werden weltweit nicht vollständig in den Produktionskosten eingepreist. Dadurch sind klimaschädliche Produktionsverfahren für Unternehmen oft noch günstiger als klimafreundliche. Klimafreundliche Produktion ist häufig sogar so kostenintensiv, dass Unternehmen </w:t>
      </w:r>
      <w:r w:rsidR="003C5ECE" w:rsidRPr="00373DC2">
        <w:rPr>
          <w:color w:val="000000" w:themeColor="text1"/>
        </w:rPr>
        <w:t>nur mit großem</w:t>
      </w:r>
      <w:r w:rsidRPr="00373DC2">
        <w:rPr>
          <w:color w:val="000000" w:themeColor="text1"/>
        </w:rPr>
        <w:t xml:space="preserve"> Kostennachteil im Wettbewerb </w:t>
      </w:r>
      <w:r w:rsidR="003C5ECE" w:rsidRPr="00373DC2">
        <w:rPr>
          <w:color w:val="000000" w:themeColor="text1"/>
        </w:rPr>
        <w:t>darauf umstellen können.</w:t>
      </w:r>
      <w:r w:rsidRPr="00373DC2">
        <w:rPr>
          <w:color w:val="000000" w:themeColor="text1"/>
        </w:rPr>
        <w:t xml:space="preserve"> Investitionen in</w:t>
      </w:r>
      <w:r w:rsidRPr="00373DC2" w:rsidDel="001570C0">
        <w:rPr>
          <w:color w:val="000000" w:themeColor="text1"/>
        </w:rPr>
        <w:t xml:space="preserve"> </w:t>
      </w:r>
      <w:r w:rsidRPr="00373DC2">
        <w:rPr>
          <w:color w:val="000000" w:themeColor="text1"/>
        </w:rPr>
        <w:t>klimafreundliche Produktionsverfahren sind dadurch zumindest</w:t>
      </w:r>
      <w:r w:rsidR="00317DAE" w:rsidRPr="00373DC2">
        <w:rPr>
          <w:color w:val="000000" w:themeColor="text1"/>
        </w:rPr>
        <w:t xml:space="preserve"> teilweise </w:t>
      </w:r>
      <w:r w:rsidR="00201FAB" w:rsidRPr="00373DC2">
        <w:rPr>
          <w:color w:val="000000" w:themeColor="text1"/>
        </w:rPr>
        <w:t>betriebs</w:t>
      </w:r>
      <w:r w:rsidR="00317DAE" w:rsidRPr="00373DC2">
        <w:rPr>
          <w:color w:val="000000" w:themeColor="text1"/>
        </w:rPr>
        <w:t>wirtschaftlich</w:t>
      </w:r>
      <w:r w:rsidRPr="00373DC2">
        <w:rPr>
          <w:color w:val="000000" w:themeColor="text1"/>
        </w:rPr>
        <w:t xml:space="preserve"> hoch riskant und unterbleiben heute noch zu oft, gerade </w:t>
      </w:r>
      <w:r w:rsidRPr="00373DC2">
        <w:rPr>
          <w:rFonts w:eastAsia="Calibri"/>
          <w:color w:val="000000" w:themeColor="text1"/>
        </w:rPr>
        <w:t xml:space="preserve">auch weil sie </w:t>
      </w:r>
      <w:r w:rsidR="003C5ECE" w:rsidRPr="00373DC2">
        <w:rPr>
          <w:rFonts w:eastAsia="Calibri"/>
          <w:color w:val="000000" w:themeColor="text1"/>
        </w:rPr>
        <w:t xml:space="preserve">häufig </w:t>
      </w:r>
      <w:r w:rsidRPr="00373DC2">
        <w:rPr>
          <w:rFonts w:eastAsia="Calibri"/>
          <w:color w:val="000000" w:themeColor="text1"/>
        </w:rPr>
        <w:t>Anlagen mit einer technischen Lebensdauer von mehreren Jahrzehnten betreffen</w:t>
      </w:r>
      <w:r w:rsidRPr="00373DC2">
        <w:rPr>
          <w:color w:val="000000" w:themeColor="text1"/>
        </w:rPr>
        <w:t>.</w:t>
      </w:r>
    </w:p>
    <w:p w14:paraId="3B1AD66A" w14:textId="1B48FEAD" w:rsidR="00D6090C" w:rsidRPr="00373DC2" w:rsidRDefault="0037638F" w:rsidP="00504AB3">
      <w:pPr>
        <w:spacing w:after="0" w:line="240" w:lineRule="auto"/>
        <w:rPr>
          <w:rFonts w:cstheme="minorHAnsi"/>
        </w:rPr>
      </w:pPr>
      <w:r w:rsidRPr="00373DC2">
        <w:rPr>
          <w:rFonts w:cstheme="minorHAnsi"/>
        </w:rPr>
        <w:t>R</w:t>
      </w:r>
      <w:r w:rsidRPr="00373DC2">
        <w:rPr>
          <w:rFonts w:cstheme="minorHAnsi"/>
          <w:szCs w:val="24"/>
        </w:rPr>
        <w:t xml:space="preserve">und </w:t>
      </w:r>
      <w:r w:rsidR="007B2C82" w:rsidRPr="00373DC2">
        <w:rPr>
          <w:rFonts w:cstheme="minorHAnsi"/>
          <w:szCs w:val="24"/>
        </w:rPr>
        <w:t>ein Drittel</w:t>
      </w:r>
      <w:r w:rsidRPr="00373DC2">
        <w:rPr>
          <w:rFonts w:cstheme="minorHAnsi"/>
          <w:szCs w:val="24"/>
        </w:rPr>
        <w:t xml:space="preserve"> der Emissionen der Industrie sind prozessbedingt. Die nach heutigem Stand der Technik</w:t>
      </w:r>
      <w:r w:rsidR="00B91133" w:rsidRPr="00373DC2">
        <w:rPr>
          <w:rFonts w:cstheme="minorHAnsi"/>
          <w:szCs w:val="24"/>
        </w:rPr>
        <w:t xml:space="preserve"> schwer oder</w:t>
      </w:r>
      <w:r w:rsidRPr="00373DC2">
        <w:rPr>
          <w:rFonts w:cstheme="minorHAnsi"/>
          <w:szCs w:val="24"/>
        </w:rPr>
        <w:t xml:space="preserve"> </w:t>
      </w:r>
      <w:r w:rsidR="00B90217" w:rsidRPr="00373DC2">
        <w:rPr>
          <w:rFonts w:cstheme="minorHAnsi"/>
          <w:szCs w:val="24"/>
        </w:rPr>
        <w:t xml:space="preserve">anderweitig </w:t>
      </w:r>
      <w:r w:rsidRPr="00373DC2">
        <w:rPr>
          <w:rFonts w:cstheme="minorHAnsi"/>
          <w:szCs w:val="24"/>
        </w:rPr>
        <w:t>nicht vermeidbaren Prozessemissionen, stellen für die Dekarbonisierung der Industrie – insbesondere der energieintensiven Grundstoffindustrie (</w:t>
      </w:r>
      <w:r w:rsidR="00CF17CA" w:rsidRPr="00373DC2">
        <w:rPr>
          <w:rFonts w:cstheme="minorHAnsi"/>
          <w:szCs w:val="24"/>
        </w:rPr>
        <w:t>v</w:t>
      </w:r>
      <w:r w:rsidRPr="00373DC2">
        <w:rPr>
          <w:rFonts w:cstheme="minorHAnsi"/>
          <w:szCs w:val="24"/>
        </w:rPr>
        <w:t>.a. Eisen/Stahl, Chemie, Zement/Kalk, Metallverarbeitung, Papier, Glas)</w:t>
      </w:r>
      <w:r w:rsidR="00CF17CA" w:rsidRPr="00373DC2" w:rsidDel="00CF17CA">
        <w:rPr>
          <w:rStyle w:val="Funotenzeichen"/>
          <w:rFonts w:cstheme="minorHAnsi"/>
          <w:szCs w:val="24"/>
        </w:rPr>
        <w:t xml:space="preserve"> </w:t>
      </w:r>
      <w:r w:rsidRPr="00373DC2">
        <w:rPr>
          <w:rFonts w:cstheme="minorHAnsi"/>
          <w:szCs w:val="24"/>
        </w:rPr>
        <w:t xml:space="preserve">eine besonders große Herausforderung dar. In einigen Industriezweigen ist der Einsatz von Technologien zur CO₂-Abscheidung und -Nutzung (Carbon Capture and Utilization, CCU) sowie zur CO₂-Abscheidung und Speicherung (Carbon Capture and Storage, CCS) eine wichtige </w:t>
      </w:r>
      <w:r w:rsidR="003575D0" w:rsidRPr="00373DC2">
        <w:rPr>
          <w:rFonts w:cstheme="minorHAnsi"/>
          <w:szCs w:val="24"/>
        </w:rPr>
        <w:t xml:space="preserve">und </w:t>
      </w:r>
      <w:r w:rsidR="00CC6876" w:rsidRPr="00373DC2">
        <w:rPr>
          <w:rFonts w:cstheme="minorHAnsi"/>
          <w:szCs w:val="24"/>
        </w:rPr>
        <w:t>aus heutiger Sicht</w:t>
      </w:r>
      <w:r w:rsidR="003575D0" w:rsidRPr="00373DC2">
        <w:rPr>
          <w:rFonts w:cstheme="minorHAnsi"/>
          <w:szCs w:val="24"/>
        </w:rPr>
        <w:t xml:space="preserve"> oft die einzige </w:t>
      </w:r>
      <w:r w:rsidRPr="00373DC2">
        <w:rPr>
          <w:rFonts w:cstheme="minorHAnsi"/>
          <w:szCs w:val="24"/>
        </w:rPr>
        <w:t xml:space="preserve">technologische </w:t>
      </w:r>
      <w:r w:rsidRPr="00373DC2">
        <w:rPr>
          <w:rFonts w:cstheme="minorHAnsi"/>
        </w:rPr>
        <w:t>Option</w:t>
      </w:r>
      <w:r w:rsidRPr="00373DC2">
        <w:rPr>
          <w:rFonts w:cstheme="minorHAnsi"/>
          <w:szCs w:val="24"/>
        </w:rPr>
        <w:t xml:space="preserve">, mit der der Ausstoß prozessbedingter Emissionen langfristig in dem erforderlichen Umfang reduziert werden kann. </w:t>
      </w:r>
      <w:r w:rsidR="00D6090C" w:rsidRPr="00373DC2">
        <w:rPr>
          <w:rFonts w:cstheme="minorHAnsi"/>
        </w:rPr>
        <w:t>Auch in der Abfallwirtschaft fallen z.B. durch die thermische Abfallbehandlung ca. 9,5 Mt. pro Jahr an fossilen CO</w:t>
      </w:r>
      <w:r w:rsidR="00D6090C" w:rsidRPr="00373DC2">
        <w:rPr>
          <w:rFonts w:cstheme="minorHAnsi"/>
          <w:vertAlign w:val="subscript"/>
        </w:rPr>
        <w:t>2</w:t>
      </w:r>
      <w:r w:rsidR="00D6090C" w:rsidRPr="00373DC2">
        <w:rPr>
          <w:rFonts w:cstheme="minorHAnsi"/>
        </w:rPr>
        <w:t>-Emissionen an, die selbst bei einer ambitionierten Kreislaufwirtschaft nur schwer vermeidbar sind.</w:t>
      </w:r>
    </w:p>
    <w:p w14:paraId="0E547CB4" w14:textId="42D65814" w:rsidR="00CB5AC2" w:rsidRPr="00373DC2" w:rsidRDefault="00CB5AC2" w:rsidP="00504AB3">
      <w:pPr>
        <w:pStyle w:val="Indent1"/>
        <w:spacing w:line="240" w:lineRule="auto"/>
        <w:ind w:left="0"/>
        <w:rPr>
          <w:color w:val="000000" w:themeColor="text1"/>
        </w:rPr>
      </w:pPr>
      <w:r w:rsidRPr="00373DC2">
        <w:rPr>
          <w:color w:val="000000" w:themeColor="text1"/>
        </w:rPr>
        <w:t>Die E</w:t>
      </w:r>
      <w:r w:rsidR="00FF70F5" w:rsidRPr="00373DC2">
        <w:rPr>
          <w:color w:val="000000" w:themeColor="text1"/>
        </w:rPr>
        <w:t xml:space="preserve">uropäische </w:t>
      </w:r>
      <w:r w:rsidRPr="00373DC2">
        <w:rPr>
          <w:color w:val="000000" w:themeColor="text1"/>
        </w:rPr>
        <w:t xml:space="preserve">Kommission  hat mit dem </w:t>
      </w:r>
      <w:r w:rsidR="00F204CD" w:rsidRPr="00373DC2">
        <w:rPr>
          <w:color w:val="000000" w:themeColor="text1"/>
        </w:rPr>
        <w:t xml:space="preserve">Industrieplan zum Grünen Deal </w:t>
      </w:r>
      <w:r w:rsidRPr="00373DC2">
        <w:rPr>
          <w:color w:val="000000" w:themeColor="text1"/>
        </w:rPr>
        <w:t>vom 1. Februar 2023</w:t>
      </w:r>
      <w:r w:rsidR="00155AB0" w:rsidRPr="00373DC2">
        <w:rPr>
          <w:rStyle w:val="Funotenzeichen"/>
          <w:color w:val="000000" w:themeColor="text1"/>
        </w:rPr>
        <w:footnoteReference w:id="4"/>
      </w:r>
      <w:r w:rsidR="001C12ED" w:rsidRPr="00373DC2">
        <w:rPr>
          <w:color w:val="000000" w:themeColor="text1"/>
        </w:rPr>
        <w:t xml:space="preserve"> und</w:t>
      </w:r>
      <w:r w:rsidRPr="00373DC2">
        <w:rPr>
          <w:color w:val="000000" w:themeColor="text1"/>
        </w:rPr>
        <w:t xml:space="preserve"> dem </w:t>
      </w:r>
      <w:r w:rsidR="00F204CD" w:rsidRPr="00373DC2">
        <w:rPr>
          <w:color w:val="000000" w:themeColor="text1"/>
        </w:rPr>
        <w:t xml:space="preserve">Befristeten Rahmen für staatliche Beihilfen zur Stützung der Wirtschaft infolge des Angriffs Russlands auf die Ukraine – Krisenbewältigung und Gestaltung des Wandels </w:t>
      </w:r>
      <w:r w:rsidRPr="00373DC2">
        <w:rPr>
          <w:color w:val="000000" w:themeColor="text1"/>
        </w:rPr>
        <w:t>vom 9. März 2023</w:t>
      </w:r>
      <w:r w:rsidR="00155AB0" w:rsidRPr="00373DC2">
        <w:rPr>
          <w:rStyle w:val="Funotenzeichen"/>
          <w:color w:val="000000" w:themeColor="text1"/>
        </w:rPr>
        <w:footnoteReference w:id="5"/>
      </w:r>
      <w:r w:rsidRPr="00373DC2">
        <w:rPr>
          <w:color w:val="000000" w:themeColor="text1"/>
        </w:rPr>
        <w:t xml:space="preserve"> und </w:t>
      </w:r>
      <w:r w:rsidRPr="00373DC2">
        <w:rPr>
          <w:color w:val="000000" w:themeColor="text1"/>
        </w:rPr>
        <w:lastRenderedPageBreak/>
        <w:t>dem Entwurf für den Net Zero Industry Act vom 16. März 2023</w:t>
      </w:r>
      <w:r w:rsidR="00F204CD" w:rsidRPr="00373DC2">
        <w:rPr>
          <w:color w:val="000000" w:themeColor="text1"/>
        </w:rPr>
        <w:t xml:space="preserve"> den Rahmen dafür gesetzt, die</w:t>
      </w:r>
      <w:r w:rsidRPr="00373DC2">
        <w:rPr>
          <w:color w:val="000000" w:themeColor="text1"/>
        </w:rPr>
        <w:t xml:space="preserve"> </w:t>
      </w:r>
      <w:r w:rsidR="001C12ED" w:rsidRPr="00373DC2">
        <w:rPr>
          <w:color w:val="000000" w:themeColor="text1"/>
        </w:rPr>
        <w:t>Dekarbonisierung</w:t>
      </w:r>
      <w:r w:rsidR="00F204CD" w:rsidRPr="00373DC2">
        <w:rPr>
          <w:color w:val="000000" w:themeColor="text1"/>
        </w:rPr>
        <w:t xml:space="preserve"> auszubauen</w:t>
      </w:r>
      <w:r w:rsidRPr="00373DC2">
        <w:rPr>
          <w:color w:val="000000" w:themeColor="text1"/>
        </w:rPr>
        <w:t>.</w:t>
      </w:r>
    </w:p>
    <w:p w14:paraId="5881D50E" w14:textId="08C4D378" w:rsidR="00A921DD" w:rsidRPr="00373DC2" w:rsidRDefault="003E3987" w:rsidP="00504AB3">
      <w:pPr>
        <w:pStyle w:val="Indent1"/>
        <w:spacing w:line="240" w:lineRule="auto"/>
        <w:ind w:left="0"/>
        <w:rPr>
          <w:color w:val="000000" w:themeColor="text1"/>
        </w:rPr>
      </w:pPr>
      <w:r w:rsidRPr="00373DC2">
        <w:rPr>
          <w:color w:val="000000" w:themeColor="text1"/>
        </w:rPr>
        <w:t>Mit dieser Förderrichtlinie sollen klimafreundliche Investition</w:t>
      </w:r>
      <w:r w:rsidR="00352B6F" w:rsidRPr="00373DC2">
        <w:rPr>
          <w:color w:val="000000" w:themeColor="text1"/>
        </w:rPr>
        <w:t>s-</w:t>
      </w:r>
      <w:r w:rsidRPr="00373DC2">
        <w:rPr>
          <w:color w:val="000000" w:themeColor="text1"/>
        </w:rPr>
        <w:t xml:space="preserve"> </w:t>
      </w:r>
      <w:r w:rsidR="00FF70F5" w:rsidRPr="00373DC2">
        <w:rPr>
          <w:color w:val="000000" w:themeColor="text1"/>
        </w:rPr>
        <w:t>sowie</w:t>
      </w:r>
      <w:r w:rsidR="00352B6F" w:rsidRPr="00373DC2">
        <w:rPr>
          <w:color w:val="000000" w:themeColor="text1"/>
        </w:rPr>
        <w:t xml:space="preserve"> Forschungs</w:t>
      </w:r>
      <w:r w:rsidR="00FF70F5" w:rsidRPr="00373DC2">
        <w:rPr>
          <w:color w:val="000000" w:themeColor="text1"/>
        </w:rPr>
        <w:t>-, Entwicklungs- und Innovations</w:t>
      </w:r>
      <w:r w:rsidR="00352B6F" w:rsidRPr="00373DC2">
        <w:rPr>
          <w:color w:val="000000" w:themeColor="text1"/>
        </w:rPr>
        <w:t>vorhaben ermöglicht werden.</w:t>
      </w:r>
      <w:r w:rsidRPr="00373DC2">
        <w:rPr>
          <w:color w:val="000000" w:themeColor="text1"/>
        </w:rPr>
        <w:t xml:space="preserve"> </w:t>
      </w:r>
      <w:r w:rsidR="00352B6F" w:rsidRPr="00373DC2">
        <w:rPr>
          <w:color w:val="000000" w:themeColor="text1"/>
        </w:rPr>
        <w:t xml:space="preserve">Die </w:t>
      </w:r>
      <w:r w:rsidR="00211BD8" w:rsidRPr="00373DC2">
        <w:rPr>
          <w:color w:val="000000" w:themeColor="text1"/>
        </w:rPr>
        <w:t xml:space="preserve">Dekarbonisierung, </w:t>
      </w:r>
      <w:r w:rsidR="00352B6F" w:rsidRPr="00373DC2">
        <w:rPr>
          <w:color w:val="000000" w:themeColor="text1"/>
        </w:rPr>
        <w:t xml:space="preserve">die </w:t>
      </w:r>
      <w:r w:rsidR="00211BD8" w:rsidRPr="00373DC2">
        <w:rPr>
          <w:color w:val="000000" w:themeColor="text1"/>
        </w:rPr>
        <w:t xml:space="preserve">Speicherung und Nutzung </w:t>
      </w:r>
      <w:r w:rsidR="00C45EEE" w:rsidRPr="00373DC2">
        <w:rPr>
          <w:color w:val="000000" w:themeColor="text1"/>
        </w:rPr>
        <w:t>von CO</w:t>
      </w:r>
      <w:r w:rsidR="00C45EEE" w:rsidRPr="00373DC2">
        <w:rPr>
          <w:color w:val="000000" w:themeColor="text1"/>
          <w:vertAlign w:val="subscript"/>
        </w:rPr>
        <w:t>2</w:t>
      </w:r>
      <w:r w:rsidR="00C45EEE" w:rsidRPr="00373DC2">
        <w:rPr>
          <w:color w:val="000000" w:themeColor="text1"/>
        </w:rPr>
        <w:t xml:space="preserve"> </w:t>
      </w:r>
      <w:r w:rsidR="00211BD8" w:rsidRPr="00373DC2">
        <w:rPr>
          <w:color w:val="000000" w:themeColor="text1"/>
        </w:rPr>
        <w:t xml:space="preserve">stehen im engen Zusammenhang und werden daher als </w:t>
      </w:r>
      <w:r w:rsidR="001C12ED" w:rsidRPr="00373DC2">
        <w:rPr>
          <w:color w:val="000000" w:themeColor="text1"/>
        </w:rPr>
        <w:t xml:space="preserve">zwei </w:t>
      </w:r>
      <w:r w:rsidR="00FE5D9D" w:rsidRPr="00373DC2">
        <w:rPr>
          <w:color w:val="000000" w:themeColor="text1"/>
        </w:rPr>
        <w:t>Förderm</w:t>
      </w:r>
      <w:r w:rsidR="00211BD8" w:rsidRPr="00373DC2">
        <w:rPr>
          <w:color w:val="000000" w:themeColor="text1"/>
        </w:rPr>
        <w:t xml:space="preserve">odule </w:t>
      </w:r>
      <w:r w:rsidR="00FA5837" w:rsidRPr="00373DC2">
        <w:rPr>
          <w:color w:val="000000" w:themeColor="text1"/>
        </w:rPr>
        <w:t xml:space="preserve">einer gemeinsamen Förderrichtlinie </w:t>
      </w:r>
      <w:r w:rsidR="00FE5D9D" w:rsidRPr="00373DC2">
        <w:rPr>
          <w:color w:val="000000" w:themeColor="text1"/>
        </w:rPr>
        <w:t>ausgestaltet.</w:t>
      </w:r>
      <w:r w:rsidR="00211BD8" w:rsidRPr="00373DC2">
        <w:rPr>
          <w:color w:val="000000" w:themeColor="text1"/>
        </w:rPr>
        <w:t xml:space="preserve"> </w:t>
      </w:r>
    </w:p>
    <w:p w14:paraId="03248940" w14:textId="168A35CC" w:rsidR="00942153" w:rsidRPr="00373DC2" w:rsidRDefault="00942153" w:rsidP="00504AB3">
      <w:pPr>
        <w:pStyle w:val="Indent1"/>
        <w:spacing w:line="240" w:lineRule="auto"/>
        <w:ind w:left="0"/>
        <w:rPr>
          <w:color w:val="000000" w:themeColor="text1"/>
        </w:rPr>
      </w:pPr>
      <w:r w:rsidRPr="00373DC2">
        <w:rPr>
          <w:color w:val="000000" w:themeColor="text1"/>
          <w:highlight w:val="yellow"/>
        </w:rPr>
        <w:t>[</w:t>
      </w:r>
      <w:r w:rsidRPr="00373DC2">
        <w:rPr>
          <w:highlight w:val="yellow"/>
        </w:rPr>
        <w:t>Bundesregelung]</w:t>
      </w:r>
    </w:p>
    <w:p w14:paraId="2D1E81AD" w14:textId="4E129309" w:rsidR="00415E48" w:rsidRDefault="00211BD8" w:rsidP="00504AB3">
      <w:pPr>
        <w:pStyle w:val="Indent1"/>
        <w:spacing w:line="240" w:lineRule="auto"/>
        <w:ind w:left="0"/>
      </w:pPr>
      <w:r w:rsidRPr="00373DC2">
        <w:rPr>
          <w:color w:val="000000" w:themeColor="text1"/>
        </w:rPr>
        <w:t xml:space="preserve">Da aufgrund der Änderung der </w:t>
      </w:r>
      <w:r w:rsidRPr="00373DC2">
        <w:t>Allgemeinen Gruppenfreistellungsverordnung (AGVO)</w:t>
      </w:r>
      <w:r w:rsidRPr="00373DC2">
        <w:rPr>
          <w:vertAlign w:val="superscript"/>
        </w:rPr>
        <w:footnoteReference w:id="6"/>
      </w:r>
      <w:r w:rsidRPr="00373DC2">
        <w:t xml:space="preserve"> </w:t>
      </w:r>
      <w:r w:rsidR="00FE5D9D" w:rsidRPr="00373DC2">
        <w:t>die Förderrichtlinie zur Dekarbonisierung in der Industrie vom 16. Dezember 2020</w:t>
      </w:r>
      <w:r w:rsidR="00FE5D9D" w:rsidRPr="00373DC2">
        <w:rPr>
          <w:rStyle w:val="Funotenzeichen"/>
        </w:rPr>
        <w:footnoteReference w:id="7"/>
      </w:r>
      <w:r w:rsidR="00FE5D9D" w:rsidRPr="00373DC2">
        <w:t xml:space="preserve"> an die neuen AGVO-Bedingungen angepasst werden </w:t>
      </w:r>
      <w:r w:rsidR="0093199E" w:rsidRPr="00373DC2">
        <w:t>muss</w:t>
      </w:r>
      <w:r w:rsidR="00FE5D9D" w:rsidRPr="00373DC2">
        <w:t>, wird die Förderrichtlinie zur Dekarbonisierung in der Industrie zum 31. Dezember 2023 beendet und geht ab 1. Januar 202</w:t>
      </w:r>
      <w:r w:rsidR="00FF70F5" w:rsidRPr="00373DC2">
        <w:t>4</w:t>
      </w:r>
      <w:r w:rsidR="00FE5D9D" w:rsidRPr="00373DC2">
        <w:t xml:space="preserve"> in geänderter Form in</w:t>
      </w:r>
      <w:r w:rsidR="00045615">
        <w:t xml:space="preserve"> dieser Förderrichtlinie </w:t>
      </w:r>
      <w:r w:rsidR="00FE5D9D" w:rsidRPr="00373DC2">
        <w:t>auf.</w:t>
      </w:r>
    </w:p>
    <w:p w14:paraId="399F9DDB" w14:textId="77777777" w:rsidR="001A59C0" w:rsidRPr="00373DC2" w:rsidRDefault="001A59C0" w:rsidP="00504AB3">
      <w:pPr>
        <w:pStyle w:val="Indent1"/>
        <w:spacing w:line="240" w:lineRule="auto"/>
        <w:ind w:left="0"/>
        <w:rPr>
          <w:color w:val="000000" w:themeColor="text1"/>
        </w:rPr>
      </w:pPr>
    </w:p>
    <w:bookmarkEnd w:id="0"/>
    <w:bookmarkEnd w:id="5"/>
    <w:p w14:paraId="5D124DD7" w14:textId="642397A0" w:rsidR="00334DB9" w:rsidRPr="00373DC2" w:rsidRDefault="00334DB9" w:rsidP="00504AB3">
      <w:pPr>
        <w:spacing w:line="240" w:lineRule="auto"/>
        <w:rPr>
          <w:rFonts w:cstheme="minorHAnsi"/>
          <w:b/>
        </w:rPr>
      </w:pPr>
      <w:r w:rsidRPr="00373DC2">
        <w:rPr>
          <w:rFonts w:cstheme="minorHAnsi"/>
          <w:b/>
        </w:rPr>
        <w:t xml:space="preserve">1 </w:t>
      </w:r>
      <w:bookmarkStart w:id="6" w:name="_Hlk146034602"/>
      <w:r w:rsidRPr="00373DC2">
        <w:rPr>
          <w:rFonts w:cstheme="minorHAnsi"/>
          <w:b/>
          <w:bCs/>
        </w:rPr>
        <w:t>Förderziel</w:t>
      </w:r>
      <w:r w:rsidR="009A3608" w:rsidRPr="00373DC2">
        <w:rPr>
          <w:rFonts w:cstheme="minorHAnsi"/>
          <w:b/>
          <w:bCs/>
        </w:rPr>
        <w:t>e</w:t>
      </w:r>
      <w:r w:rsidRPr="00373DC2">
        <w:rPr>
          <w:rFonts w:cstheme="minorHAnsi"/>
          <w:b/>
        </w:rPr>
        <w:t xml:space="preserve"> und Zuwendungszweck</w:t>
      </w:r>
      <w:bookmarkEnd w:id="6"/>
    </w:p>
    <w:p w14:paraId="4D336E7F" w14:textId="4E3166B7" w:rsidR="00E02AD5" w:rsidRPr="00373DC2" w:rsidRDefault="00334DB9" w:rsidP="00FF125D">
      <w:pPr>
        <w:pStyle w:val="Textkrper"/>
        <w:numPr>
          <w:ilvl w:val="0"/>
          <w:numId w:val="25"/>
        </w:numPr>
        <w:spacing w:line="240" w:lineRule="auto"/>
        <w:rPr>
          <w:rFonts w:cstheme="minorHAnsi"/>
        </w:rPr>
      </w:pPr>
      <w:bookmarkStart w:id="7" w:name="_Hlk146035185"/>
      <w:r w:rsidRPr="00373DC2">
        <w:rPr>
          <w:rFonts w:cstheme="minorHAnsi"/>
        </w:rPr>
        <w:t xml:space="preserve">Das Bundesministerium für </w:t>
      </w:r>
      <w:r w:rsidR="008505EF" w:rsidRPr="00373DC2">
        <w:rPr>
          <w:rFonts w:cstheme="minorHAnsi"/>
        </w:rPr>
        <w:t>Wirtschaft und Klimaschutz</w:t>
      </w:r>
      <w:r w:rsidRPr="00373DC2">
        <w:rPr>
          <w:rFonts w:cstheme="minorHAnsi"/>
        </w:rPr>
        <w:t xml:space="preserve"> (BM</w:t>
      </w:r>
      <w:r w:rsidR="008505EF" w:rsidRPr="00373DC2">
        <w:rPr>
          <w:rFonts w:cstheme="minorHAnsi"/>
        </w:rPr>
        <w:t>WK</w:t>
      </w:r>
      <w:r w:rsidRPr="00373DC2">
        <w:rPr>
          <w:rFonts w:cstheme="minorHAnsi"/>
        </w:rPr>
        <w:t>) fördert</w:t>
      </w:r>
      <w:r w:rsidR="00E50F38" w:rsidRPr="00373DC2">
        <w:rPr>
          <w:rFonts w:cstheme="minorHAnsi"/>
        </w:rPr>
        <w:t xml:space="preserve"> mit dieser Förderrichtlinie</w:t>
      </w:r>
      <w:r w:rsidRPr="00373DC2">
        <w:rPr>
          <w:rFonts w:cstheme="minorHAnsi"/>
        </w:rPr>
        <w:t xml:space="preserve"> </w:t>
      </w:r>
      <w:r w:rsidR="00034ABB" w:rsidRPr="00373DC2">
        <w:rPr>
          <w:rFonts w:cstheme="minorHAnsi"/>
        </w:rPr>
        <w:t>Industriev</w:t>
      </w:r>
      <w:r w:rsidR="00E02AD5" w:rsidRPr="00373DC2">
        <w:rPr>
          <w:rFonts w:cstheme="minorHAnsi"/>
        </w:rPr>
        <w:t>orhaben</w:t>
      </w:r>
      <w:r w:rsidR="00034ABB" w:rsidRPr="00373DC2">
        <w:rPr>
          <w:rFonts w:cstheme="minorHAnsi"/>
        </w:rPr>
        <w:t xml:space="preserve"> in Deutschland</w:t>
      </w:r>
      <w:r w:rsidR="00E02AD5" w:rsidRPr="00373DC2">
        <w:rPr>
          <w:rFonts w:cstheme="minorHAnsi"/>
        </w:rPr>
        <w:t xml:space="preserve"> in </w:t>
      </w:r>
      <w:r w:rsidR="001C12ED" w:rsidRPr="00373DC2">
        <w:rPr>
          <w:rFonts w:cstheme="minorHAnsi"/>
        </w:rPr>
        <w:t xml:space="preserve">zwei </w:t>
      </w:r>
      <w:r w:rsidR="00E02AD5" w:rsidRPr="00373DC2">
        <w:rPr>
          <w:rFonts w:cstheme="minorHAnsi"/>
        </w:rPr>
        <w:t>Modulen.</w:t>
      </w:r>
    </w:p>
    <w:p w14:paraId="1BA36673" w14:textId="31A382A0" w:rsidR="00B50E49" w:rsidRPr="00373DC2" w:rsidRDefault="00E02AD5" w:rsidP="00FF125D">
      <w:pPr>
        <w:pStyle w:val="Textkrper"/>
        <w:numPr>
          <w:ilvl w:val="0"/>
          <w:numId w:val="25"/>
        </w:numPr>
        <w:spacing w:line="240" w:lineRule="auto"/>
        <w:rPr>
          <w:rFonts w:cstheme="minorHAnsi"/>
        </w:rPr>
      </w:pPr>
      <w:r w:rsidRPr="00373DC2">
        <w:rPr>
          <w:rFonts w:cstheme="minorHAnsi"/>
        </w:rPr>
        <w:t xml:space="preserve">Mit Modul 1 </w:t>
      </w:r>
      <w:r w:rsidR="003C5ECE" w:rsidRPr="00373DC2">
        <w:rPr>
          <w:rFonts w:cstheme="minorHAnsi"/>
        </w:rPr>
        <w:t>werden</w:t>
      </w:r>
      <w:r w:rsidR="001542D5" w:rsidRPr="00373DC2">
        <w:rPr>
          <w:rFonts w:cstheme="minorHAnsi"/>
        </w:rPr>
        <w:t xml:space="preserve"> </w:t>
      </w:r>
      <w:r w:rsidR="009F163A" w:rsidRPr="00373DC2">
        <w:rPr>
          <w:rFonts w:cstheme="minorHAnsi"/>
        </w:rPr>
        <w:t xml:space="preserve">Dekarbonisierungsvorhaben </w:t>
      </w:r>
      <w:r w:rsidR="00FF70F5" w:rsidRPr="00373DC2">
        <w:rPr>
          <w:rFonts w:cstheme="minorHAnsi"/>
        </w:rPr>
        <w:t xml:space="preserve">gefördert, die </w:t>
      </w:r>
      <w:r w:rsidR="00E50F38" w:rsidRPr="00373DC2">
        <w:rPr>
          <w:rFonts w:cstheme="minorHAnsi"/>
        </w:rPr>
        <w:t xml:space="preserve">Treibhausgasemissionen </w:t>
      </w:r>
      <w:r w:rsidR="00F65BA5" w:rsidRPr="00373DC2">
        <w:rPr>
          <w:rFonts w:cstheme="minorHAnsi"/>
        </w:rPr>
        <w:t xml:space="preserve">im Industriesektor </w:t>
      </w:r>
      <w:r w:rsidR="00E50F38" w:rsidRPr="00373DC2">
        <w:rPr>
          <w:rFonts w:cstheme="minorHAnsi"/>
        </w:rPr>
        <w:t>möglichst weitgehend und dauerhaft reduzier</w:t>
      </w:r>
      <w:r w:rsidR="009F163A" w:rsidRPr="00373DC2">
        <w:rPr>
          <w:rFonts w:cstheme="minorHAnsi"/>
        </w:rPr>
        <w:t>en</w:t>
      </w:r>
      <w:r w:rsidR="00334DB9" w:rsidRPr="00373DC2">
        <w:rPr>
          <w:rFonts w:cstheme="minorHAnsi"/>
        </w:rPr>
        <w:t xml:space="preserve">. Die geförderten </w:t>
      </w:r>
      <w:r w:rsidR="006043C4" w:rsidRPr="00373DC2">
        <w:rPr>
          <w:rFonts w:cstheme="minorHAnsi"/>
        </w:rPr>
        <w:t xml:space="preserve">Vorhaben </w:t>
      </w:r>
      <w:r w:rsidR="00334DB9" w:rsidRPr="00373DC2">
        <w:rPr>
          <w:rFonts w:cstheme="minorHAnsi"/>
        </w:rPr>
        <w:t>leisten einen substanziellen Beitrag auf dem Weg zur Treibhausgasneutralität</w:t>
      </w:r>
      <w:r w:rsidR="002D139B" w:rsidRPr="00373DC2">
        <w:rPr>
          <w:rFonts w:cstheme="minorHAnsi"/>
        </w:rPr>
        <w:t xml:space="preserve"> des Industriesektors und damit verbundener Sektoren in Deutschland</w:t>
      </w:r>
      <w:r w:rsidR="00697407" w:rsidRPr="00373DC2">
        <w:rPr>
          <w:rFonts w:cstheme="minorHAnsi"/>
        </w:rPr>
        <w:t xml:space="preserve">. </w:t>
      </w:r>
      <w:r w:rsidR="00334DB9" w:rsidRPr="00373DC2">
        <w:rPr>
          <w:rFonts w:cstheme="minorHAnsi"/>
        </w:rPr>
        <w:t xml:space="preserve">Die geförderten </w:t>
      </w:r>
      <w:r w:rsidR="006043C4" w:rsidRPr="00373DC2">
        <w:rPr>
          <w:rFonts w:cstheme="minorHAnsi"/>
        </w:rPr>
        <w:t xml:space="preserve">Vorhaben </w:t>
      </w:r>
      <w:r w:rsidR="00334DB9" w:rsidRPr="00373DC2">
        <w:rPr>
          <w:rFonts w:cstheme="minorHAnsi"/>
        </w:rPr>
        <w:t xml:space="preserve">haben einen hohen Innovations- und Demonstrationscharakter und sollen modellhaft auf andere Unternehmen übertragbar sein. </w:t>
      </w:r>
    </w:p>
    <w:p w14:paraId="1D14D37E" w14:textId="49D01338" w:rsidR="00E02AD5" w:rsidRPr="00373DC2" w:rsidRDefault="00E02AD5" w:rsidP="00FF125D">
      <w:pPr>
        <w:pStyle w:val="Textkrper"/>
        <w:numPr>
          <w:ilvl w:val="0"/>
          <w:numId w:val="25"/>
        </w:numPr>
        <w:spacing w:line="240" w:lineRule="auto"/>
        <w:rPr>
          <w:rFonts w:cstheme="minorHAnsi"/>
        </w:rPr>
      </w:pPr>
      <w:r w:rsidRPr="00373DC2">
        <w:rPr>
          <w:rFonts w:cstheme="minorHAnsi"/>
        </w:rPr>
        <w:t xml:space="preserve">Mit Modul 2 </w:t>
      </w:r>
      <w:r w:rsidR="009F163A" w:rsidRPr="00373DC2">
        <w:rPr>
          <w:rFonts w:cstheme="minorHAnsi"/>
        </w:rPr>
        <w:t xml:space="preserve">werden Vorhaben </w:t>
      </w:r>
      <w:r w:rsidR="00795939" w:rsidRPr="00373DC2">
        <w:rPr>
          <w:rFonts w:cstheme="minorHAnsi"/>
        </w:rPr>
        <w:t xml:space="preserve">der Industrie und der Abfallwirtschaft </w:t>
      </w:r>
      <w:r w:rsidR="009F163A" w:rsidRPr="00373DC2">
        <w:rPr>
          <w:rFonts w:cstheme="minorHAnsi"/>
        </w:rPr>
        <w:t xml:space="preserve">zum Einsatz oder Entwicklung </w:t>
      </w:r>
      <w:r w:rsidR="000D1DAA" w:rsidRPr="00373DC2">
        <w:rPr>
          <w:rFonts w:cstheme="minorHAnsi"/>
        </w:rPr>
        <w:t xml:space="preserve">von </w:t>
      </w:r>
      <w:r w:rsidR="0037638F" w:rsidRPr="00373DC2">
        <w:rPr>
          <w:rFonts w:cstheme="minorHAnsi"/>
        </w:rPr>
        <w:t xml:space="preserve">CCU und CCS </w:t>
      </w:r>
      <w:r w:rsidR="00C40B0E" w:rsidRPr="00373DC2">
        <w:rPr>
          <w:rFonts w:cstheme="minorHAnsi"/>
        </w:rPr>
        <w:t xml:space="preserve">gefördert, soweit es sich um </w:t>
      </w:r>
      <w:r w:rsidR="009F163A" w:rsidRPr="00373DC2">
        <w:rPr>
          <w:rFonts w:cstheme="minorHAnsi"/>
        </w:rPr>
        <w:t>schwer vermeidbare Emissionen</w:t>
      </w:r>
      <w:r w:rsidR="00E120CF">
        <w:rPr>
          <w:rStyle w:val="Funotenzeichen"/>
          <w:rFonts w:cstheme="minorHAnsi"/>
        </w:rPr>
        <w:footnoteReference w:id="8"/>
      </w:r>
      <w:r w:rsidR="009F163A" w:rsidRPr="00373DC2">
        <w:rPr>
          <w:rFonts w:cstheme="minorHAnsi"/>
        </w:rPr>
        <w:t xml:space="preserve"> </w:t>
      </w:r>
      <w:r w:rsidR="00C40B0E" w:rsidRPr="00373DC2">
        <w:rPr>
          <w:rFonts w:cstheme="minorHAnsi"/>
        </w:rPr>
        <w:t>handelt</w:t>
      </w:r>
      <w:r w:rsidR="009F163A" w:rsidRPr="00373DC2">
        <w:rPr>
          <w:rFonts w:cstheme="minorHAnsi"/>
        </w:rPr>
        <w:t>.</w:t>
      </w:r>
    </w:p>
    <w:p w14:paraId="3BACB30A" w14:textId="76F20D84" w:rsidR="008F466A" w:rsidRPr="00373DC2" w:rsidRDefault="002443F1" w:rsidP="00FF125D">
      <w:pPr>
        <w:pStyle w:val="Textkrper"/>
        <w:numPr>
          <w:ilvl w:val="0"/>
          <w:numId w:val="25"/>
        </w:numPr>
        <w:spacing w:line="240" w:lineRule="auto"/>
        <w:rPr>
          <w:rFonts w:cstheme="minorHAnsi"/>
        </w:rPr>
      </w:pPr>
      <w:r w:rsidRPr="00373DC2">
        <w:rPr>
          <w:rFonts w:cstheme="minorHAnsi"/>
        </w:rPr>
        <w:t>D</w:t>
      </w:r>
      <w:r w:rsidR="000D1DAA" w:rsidRPr="00373DC2">
        <w:rPr>
          <w:rFonts w:cstheme="minorHAnsi"/>
        </w:rPr>
        <w:t>iese</w:t>
      </w:r>
      <w:r w:rsidRPr="00373DC2">
        <w:rPr>
          <w:rFonts w:cstheme="minorHAnsi"/>
        </w:rPr>
        <w:t xml:space="preserve">s </w:t>
      </w:r>
      <w:r w:rsidR="000D1DAA" w:rsidRPr="00373DC2">
        <w:rPr>
          <w:rFonts w:cstheme="minorHAnsi"/>
        </w:rPr>
        <w:t>Förderp</w:t>
      </w:r>
      <w:r w:rsidRPr="00373DC2">
        <w:rPr>
          <w:rFonts w:cstheme="minorHAnsi"/>
        </w:rPr>
        <w:t xml:space="preserve">rogramm soll einen wesentlichen Beitrag zur Erreichung der Ziele des Klimaschutzgesetzes für den Industriesektor </w:t>
      </w:r>
      <w:r w:rsidR="00743A22" w:rsidRPr="00373DC2">
        <w:rPr>
          <w:rFonts w:cstheme="minorHAnsi"/>
        </w:rPr>
        <w:t xml:space="preserve">und für den Produktionshochlauf bei den </w:t>
      </w:r>
      <w:r w:rsidR="006E05A7" w:rsidRPr="00373DC2">
        <w:rPr>
          <w:rFonts w:cstheme="minorHAnsi"/>
        </w:rPr>
        <w:t>Transformationstechnologien</w:t>
      </w:r>
      <w:r w:rsidR="00743A22" w:rsidRPr="00373DC2">
        <w:rPr>
          <w:rFonts w:cstheme="minorHAnsi"/>
        </w:rPr>
        <w:t xml:space="preserve"> </w:t>
      </w:r>
      <w:r w:rsidRPr="00373DC2">
        <w:rPr>
          <w:rFonts w:cstheme="minorHAnsi"/>
        </w:rPr>
        <w:t xml:space="preserve">leisten. </w:t>
      </w:r>
      <w:r w:rsidR="006D77AD" w:rsidRPr="00373DC2">
        <w:rPr>
          <w:rFonts w:cstheme="minorHAnsi"/>
        </w:rPr>
        <w:t>Es ist das Ziel dieser Förderrichtlinie, dass</w:t>
      </w:r>
      <w:r w:rsidR="00827643" w:rsidRPr="00373DC2">
        <w:rPr>
          <w:rFonts w:cstheme="minorHAnsi"/>
        </w:rPr>
        <w:t xml:space="preserve"> </w:t>
      </w:r>
      <w:r w:rsidR="008F466A" w:rsidRPr="00373DC2">
        <w:rPr>
          <w:rFonts w:cstheme="minorHAnsi"/>
        </w:rPr>
        <w:t xml:space="preserve">durch beide Module </w:t>
      </w:r>
      <w:r w:rsidR="00827643" w:rsidRPr="00373DC2">
        <w:rPr>
          <w:rFonts w:cstheme="minorHAnsi"/>
        </w:rPr>
        <w:t xml:space="preserve">kumuliert 40 Mio. Tonnen </w:t>
      </w:r>
      <w:r w:rsidR="008F466A" w:rsidRPr="00373DC2">
        <w:rPr>
          <w:rFonts w:cstheme="minorHAnsi"/>
        </w:rPr>
        <w:t>CO</w:t>
      </w:r>
      <w:r w:rsidR="008F466A" w:rsidRPr="00373DC2">
        <w:rPr>
          <w:rFonts w:cstheme="minorHAnsi"/>
          <w:vertAlign w:val="subscript"/>
        </w:rPr>
        <w:t>2</w:t>
      </w:r>
      <w:r w:rsidR="008F466A" w:rsidRPr="00373DC2">
        <w:rPr>
          <w:rFonts w:cstheme="minorHAnsi"/>
        </w:rPr>
        <w:t>-Äquivalente bis zum Jahr 2045 reduziert werden.</w:t>
      </w:r>
    </w:p>
    <w:bookmarkEnd w:id="7"/>
    <w:p w14:paraId="0837D30E" w14:textId="77777777" w:rsidR="00090365" w:rsidRPr="00373DC2" w:rsidRDefault="00090365" w:rsidP="00504AB3">
      <w:pPr>
        <w:pStyle w:val="Textkrper"/>
        <w:spacing w:line="240" w:lineRule="auto"/>
        <w:rPr>
          <w:rFonts w:cstheme="minorHAnsi"/>
        </w:rPr>
      </w:pPr>
    </w:p>
    <w:p w14:paraId="2D8ECEC6" w14:textId="77777777" w:rsidR="00334DB9" w:rsidRPr="00373DC2" w:rsidRDefault="00334DB9" w:rsidP="00504AB3">
      <w:pPr>
        <w:spacing w:line="240" w:lineRule="auto"/>
        <w:rPr>
          <w:rFonts w:cstheme="minorHAnsi"/>
          <w:b/>
        </w:rPr>
      </w:pPr>
      <w:r w:rsidRPr="00373DC2">
        <w:rPr>
          <w:rFonts w:cstheme="minorHAnsi"/>
          <w:b/>
        </w:rPr>
        <w:t xml:space="preserve">2 </w:t>
      </w:r>
      <w:bookmarkStart w:id="8" w:name="_Hlk146034610"/>
      <w:r w:rsidRPr="00373DC2">
        <w:rPr>
          <w:rFonts w:cstheme="minorHAnsi"/>
          <w:b/>
        </w:rPr>
        <w:t>Rechtsgrundlagen</w:t>
      </w:r>
      <w:bookmarkEnd w:id="8"/>
    </w:p>
    <w:p w14:paraId="6EF6E0B8" w14:textId="77777777" w:rsidR="007569F2" w:rsidRPr="00373DC2" w:rsidRDefault="00334DB9" w:rsidP="00FF125D">
      <w:pPr>
        <w:pStyle w:val="Textkrper"/>
        <w:numPr>
          <w:ilvl w:val="0"/>
          <w:numId w:val="26"/>
        </w:numPr>
        <w:spacing w:line="240" w:lineRule="auto"/>
        <w:rPr>
          <w:rFonts w:cstheme="minorHAnsi"/>
        </w:rPr>
      </w:pPr>
      <w:bookmarkStart w:id="9" w:name="_Hlk146035263"/>
      <w:r w:rsidRPr="00373DC2">
        <w:rPr>
          <w:rFonts w:cstheme="minorHAnsi"/>
        </w:rPr>
        <w:t xml:space="preserve">Der Bund gewährt die Zuwendungen nach Maßgabe dieser Förderrichtlinie, </w:t>
      </w:r>
      <w:r w:rsidR="008F7FC9" w:rsidRPr="00373DC2">
        <w:rPr>
          <w:rFonts w:cstheme="minorHAnsi"/>
        </w:rPr>
        <w:t xml:space="preserve">dem Verwaltungsverfahrensgesetz, </w:t>
      </w:r>
      <w:r w:rsidRPr="00373DC2">
        <w:rPr>
          <w:rFonts w:cstheme="minorHAnsi"/>
        </w:rPr>
        <w:t xml:space="preserve">der §§ 23 und 44 der Bundeshaushaltsordnung (BHO) und den dazu erlassenen </w:t>
      </w:r>
      <w:r w:rsidR="007569F2" w:rsidRPr="00373DC2">
        <w:rPr>
          <w:rFonts w:cstheme="minorHAnsi"/>
        </w:rPr>
        <w:t xml:space="preserve">Allgemeinen </w:t>
      </w:r>
      <w:r w:rsidRPr="00373DC2">
        <w:rPr>
          <w:rFonts w:cstheme="minorHAnsi"/>
        </w:rPr>
        <w:t>Verwaltungsvorschriften</w:t>
      </w:r>
      <w:r w:rsidR="000D1DAA" w:rsidRPr="00373DC2">
        <w:rPr>
          <w:rFonts w:cstheme="minorHAnsi"/>
        </w:rPr>
        <w:t xml:space="preserve"> (VV)</w:t>
      </w:r>
      <w:r w:rsidR="00CC4B89" w:rsidRPr="00373DC2">
        <w:rPr>
          <w:rFonts w:cstheme="minorHAnsi"/>
        </w:rPr>
        <w:t xml:space="preserve">. </w:t>
      </w:r>
    </w:p>
    <w:p w14:paraId="7075FDD6" w14:textId="52FC8470" w:rsidR="00334DB9" w:rsidRPr="00373DC2" w:rsidRDefault="00CC4B89" w:rsidP="00FF125D">
      <w:pPr>
        <w:pStyle w:val="Textkrper"/>
        <w:numPr>
          <w:ilvl w:val="0"/>
          <w:numId w:val="26"/>
        </w:numPr>
        <w:spacing w:line="240" w:lineRule="auto"/>
        <w:rPr>
          <w:rFonts w:cstheme="minorHAnsi"/>
        </w:rPr>
      </w:pPr>
      <w:r w:rsidRPr="00373DC2">
        <w:rPr>
          <w:rFonts w:cstheme="minorHAnsi"/>
        </w:rPr>
        <w:t>Es gelten die Allgemeinen Nebenbestimmungen für Zuwendungen zur Projektförderung (ANBest-P) bzw. die Allgemeinen Nebenbestimmungen für Zuwendungen zur Projektförderung auf Kostenbasis (ANBest-P</w:t>
      </w:r>
      <w:r w:rsidR="00DF3C2D" w:rsidRPr="00373DC2">
        <w:rPr>
          <w:rFonts w:cstheme="minorHAnsi"/>
        </w:rPr>
        <w:t>-</w:t>
      </w:r>
      <w:r w:rsidRPr="00373DC2">
        <w:rPr>
          <w:rFonts w:cstheme="minorHAnsi"/>
        </w:rPr>
        <w:t>Kosten). Das BMWK kann für die Zuwendungsbescheide Abweichungen hiervon bzw. zusätzliche Nebenbestimmungen anwenden.</w:t>
      </w:r>
    </w:p>
    <w:p w14:paraId="6ED15405" w14:textId="71F2DA04" w:rsidR="00090365" w:rsidRPr="00373DC2" w:rsidRDefault="00763F97" w:rsidP="00FF125D">
      <w:pPr>
        <w:pStyle w:val="Textkrper"/>
        <w:numPr>
          <w:ilvl w:val="0"/>
          <w:numId w:val="26"/>
        </w:numPr>
        <w:spacing w:line="240" w:lineRule="auto"/>
        <w:rPr>
          <w:rFonts w:cstheme="minorHAnsi"/>
        </w:rPr>
      </w:pPr>
      <w:bookmarkStart w:id="10" w:name="_Hlk146035315"/>
      <w:bookmarkEnd w:id="9"/>
      <w:r w:rsidRPr="00373DC2">
        <w:rPr>
          <w:rFonts w:cstheme="minorHAnsi"/>
        </w:rPr>
        <w:lastRenderedPageBreak/>
        <w:t xml:space="preserve">Beihilferechtliche Grundlage für nach dieser Förderrichtlinie gewährte </w:t>
      </w:r>
      <w:r>
        <w:rPr>
          <w:rFonts w:cstheme="minorHAnsi"/>
        </w:rPr>
        <w:t>Zuwendungen</w:t>
      </w:r>
      <w:r w:rsidRPr="00373DC2">
        <w:rPr>
          <w:rFonts w:cstheme="minorHAnsi"/>
        </w:rPr>
        <w:t xml:space="preserve"> ist die Allgemeine Gruppenfreistellungsverordnung (AGVO)</w:t>
      </w:r>
      <w:r w:rsidRPr="00373DC2">
        <w:rPr>
          <w:rFonts w:cstheme="minorHAnsi"/>
          <w:vertAlign w:val="superscript"/>
        </w:rPr>
        <w:footnoteReference w:id="9"/>
      </w:r>
      <w:r w:rsidRPr="00373DC2">
        <w:rPr>
          <w:rFonts w:cstheme="minorHAnsi"/>
        </w:rPr>
        <w:t xml:space="preserve"> der </w:t>
      </w:r>
      <w:r w:rsidRPr="00373DC2">
        <w:rPr>
          <w:rFonts w:cstheme="minorHAnsi"/>
          <w:color w:val="000000" w:themeColor="text1"/>
        </w:rPr>
        <w:t>Europäischen Kommission</w:t>
      </w:r>
      <w:r w:rsidRPr="00373DC2">
        <w:rPr>
          <w:rFonts w:cstheme="minorHAnsi"/>
        </w:rPr>
        <w:t xml:space="preserve"> sowie die </w:t>
      </w:r>
      <w:r>
        <w:rPr>
          <w:rFonts w:cstheme="minorHAnsi"/>
        </w:rPr>
        <w:t>BKR-</w:t>
      </w:r>
      <w:r w:rsidRPr="00E22B43">
        <w:rPr>
          <w:rFonts w:cstheme="minorHAnsi"/>
        </w:rPr>
        <w:t>Bundesregelung</w:t>
      </w:r>
      <w:r>
        <w:rPr>
          <w:rFonts w:cstheme="minorHAnsi"/>
        </w:rPr>
        <w:t xml:space="preserve"> </w:t>
      </w:r>
      <w:r w:rsidRPr="002A5C99">
        <w:rPr>
          <w:rFonts w:cstheme="minorHAnsi"/>
          <w:highlight w:val="yellow"/>
        </w:rPr>
        <w:t xml:space="preserve">Dekarbonisierung </w:t>
      </w:r>
      <w:r>
        <w:rPr>
          <w:rFonts w:cstheme="minorHAnsi"/>
          <w:highlight w:val="yellow"/>
        </w:rPr>
        <w:t>industrieller Produktionsprozesse</w:t>
      </w:r>
      <w:r w:rsidRPr="00E22B43">
        <w:rPr>
          <w:rStyle w:val="Funotenzeichen"/>
          <w:rFonts w:cstheme="minorHAnsi"/>
        </w:rPr>
        <w:footnoteReference w:id="10"/>
      </w:r>
      <w:r w:rsidRPr="00E22B43">
        <w:rPr>
          <w:rFonts w:cstheme="minorHAnsi"/>
        </w:rPr>
        <w:t xml:space="preserve"> (Bundesregelung).</w:t>
      </w:r>
      <w:r w:rsidRPr="00373DC2">
        <w:rPr>
          <w:rFonts w:cstheme="minorHAnsi"/>
        </w:rPr>
        <w:t xml:space="preserve"> </w:t>
      </w:r>
      <w:r w:rsidR="00CE5C5C" w:rsidRPr="00373DC2">
        <w:rPr>
          <w:rFonts w:cstheme="minorHAnsi"/>
        </w:rPr>
        <w:t xml:space="preserve">Die zu der Durchsetzung der Beihilfevorschriften erforderlichen Informationen </w:t>
      </w:r>
      <w:r w:rsidR="000D1DAA" w:rsidRPr="00373DC2">
        <w:rPr>
          <w:rFonts w:cstheme="minorHAnsi"/>
        </w:rPr>
        <w:t xml:space="preserve">müssen </w:t>
      </w:r>
      <w:r w:rsidR="00CE5C5C" w:rsidRPr="00373DC2">
        <w:rPr>
          <w:rFonts w:cstheme="minorHAnsi"/>
        </w:rPr>
        <w:t>vom Zuwendungsempfänger nach Abschluss der Maßnahme zehn Jahre lang aufbewahrt</w:t>
      </w:r>
      <w:r w:rsidR="000D1DAA" w:rsidRPr="00373DC2">
        <w:rPr>
          <w:rFonts w:cstheme="minorHAnsi"/>
        </w:rPr>
        <w:t xml:space="preserve"> werden</w:t>
      </w:r>
      <w:r w:rsidR="00CE5C5C" w:rsidRPr="00373DC2">
        <w:rPr>
          <w:rFonts w:cstheme="minorHAnsi"/>
        </w:rPr>
        <w:t xml:space="preserve">. Die Zuwendungsempfänger verpflichten sich zur Herausgabe </w:t>
      </w:r>
      <w:r w:rsidR="00FA67A3" w:rsidRPr="00373DC2">
        <w:rPr>
          <w:rFonts w:cstheme="minorHAnsi"/>
        </w:rPr>
        <w:t xml:space="preserve">dieser sowie </w:t>
      </w:r>
      <w:r w:rsidR="00CE5C5C" w:rsidRPr="00373DC2">
        <w:rPr>
          <w:rFonts w:cstheme="minorHAnsi"/>
        </w:rPr>
        <w:t>weiterer notwendigen Informationen.</w:t>
      </w:r>
    </w:p>
    <w:p w14:paraId="3D584851" w14:textId="780B6164" w:rsidR="007569F2" w:rsidRDefault="007569F2" w:rsidP="00FF125D">
      <w:pPr>
        <w:pStyle w:val="Textkrper"/>
        <w:numPr>
          <w:ilvl w:val="0"/>
          <w:numId w:val="26"/>
        </w:numPr>
        <w:spacing w:line="240" w:lineRule="auto"/>
        <w:rPr>
          <w:rFonts w:cstheme="minorHAnsi"/>
        </w:rPr>
      </w:pPr>
      <w:r w:rsidRPr="00373DC2">
        <w:rPr>
          <w:rFonts w:cstheme="minorHAnsi"/>
        </w:rPr>
        <w:t xml:space="preserve">Ein Anspruch auf Gewährung der Zuwendung besteht nicht. </w:t>
      </w:r>
    </w:p>
    <w:p w14:paraId="67A43615" w14:textId="77777777" w:rsidR="00BA0FBD" w:rsidRPr="00373DC2" w:rsidRDefault="00BA0FBD" w:rsidP="00BA0FBD">
      <w:pPr>
        <w:pStyle w:val="Textkrper"/>
        <w:spacing w:line="240" w:lineRule="auto"/>
        <w:ind w:left="720"/>
        <w:rPr>
          <w:rFonts w:cstheme="minorHAnsi"/>
        </w:rPr>
      </w:pPr>
    </w:p>
    <w:bookmarkEnd w:id="10"/>
    <w:p w14:paraId="55FBCDAA" w14:textId="77777777" w:rsidR="00334DB9" w:rsidRPr="00373DC2" w:rsidRDefault="00334DB9" w:rsidP="00504AB3">
      <w:pPr>
        <w:spacing w:line="240" w:lineRule="auto"/>
        <w:rPr>
          <w:rFonts w:cstheme="minorHAnsi"/>
          <w:b/>
        </w:rPr>
      </w:pPr>
      <w:r w:rsidRPr="00373DC2">
        <w:rPr>
          <w:rFonts w:cstheme="minorHAnsi"/>
          <w:b/>
        </w:rPr>
        <w:t xml:space="preserve">3 </w:t>
      </w:r>
      <w:bookmarkStart w:id="11" w:name="_Hlk146034616"/>
      <w:r w:rsidRPr="00373DC2">
        <w:rPr>
          <w:rFonts w:cstheme="minorHAnsi"/>
          <w:b/>
        </w:rPr>
        <w:t>Begriffsbestimmungen</w:t>
      </w:r>
      <w:bookmarkEnd w:id="11"/>
    </w:p>
    <w:p w14:paraId="55614AF3" w14:textId="06E847E1" w:rsidR="00C9741A" w:rsidRPr="00373DC2" w:rsidRDefault="00083935" w:rsidP="00504AB3">
      <w:pPr>
        <w:pStyle w:val="Textkrper"/>
        <w:spacing w:line="240" w:lineRule="auto"/>
        <w:rPr>
          <w:rFonts w:cstheme="minorHAnsi"/>
        </w:rPr>
      </w:pPr>
      <w:bookmarkStart w:id="12" w:name="_Hlk146035339"/>
      <w:r w:rsidRPr="00373DC2">
        <w:rPr>
          <w:rFonts w:cstheme="minorHAnsi"/>
        </w:rPr>
        <w:t>„</w:t>
      </w:r>
      <w:r w:rsidR="00C9741A" w:rsidRPr="00373DC2">
        <w:rPr>
          <w:rFonts w:cstheme="minorHAnsi"/>
        </w:rPr>
        <w:t>Benchmark</w:t>
      </w:r>
      <w:r w:rsidRPr="00373DC2">
        <w:rPr>
          <w:rFonts w:cstheme="minorHAnsi"/>
        </w:rPr>
        <w:t>“</w:t>
      </w:r>
      <w:r w:rsidR="00C9741A" w:rsidRPr="00373DC2">
        <w:rPr>
          <w:rFonts w:cstheme="minorHAnsi"/>
        </w:rPr>
        <w:t xml:space="preserve">: </w:t>
      </w:r>
      <w:r w:rsidR="005B2D1F" w:rsidRPr="00373DC2">
        <w:rPr>
          <w:rFonts w:cstheme="minorHAnsi"/>
        </w:rPr>
        <w:t>Einschlägige</w:t>
      </w:r>
      <w:r w:rsidR="006200E2" w:rsidRPr="00373DC2">
        <w:rPr>
          <w:rFonts w:cstheme="minorHAnsi"/>
        </w:rPr>
        <w:t>r</w:t>
      </w:r>
      <w:r w:rsidR="005B2D1F" w:rsidRPr="00373DC2">
        <w:rPr>
          <w:rFonts w:cstheme="minorHAnsi"/>
        </w:rPr>
        <w:t xml:space="preserve"> Benchmarkwert für die kostenlose Zuteilung gemäß der Durchführungsverordnung (EU) 2021/447 der </w:t>
      </w:r>
      <w:r w:rsidR="0034465B" w:rsidRPr="00373DC2">
        <w:rPr>
          <w:rFonts w:cstheme="minorHAnsi"/>
          <w:color w:val="000000" w:themeColor="text1"/>
        </w:rPr>
        <w:t>Europäischen Kommission</w:t>
      </w:r>
      <w:r w:rsidR="003D6061" w:rsidRPr="00373DC2">
        <w:rPr>
          <w:rFonts w:cstheme="minorHAnsi"/>
        </w:rPr>
        <w:t xml:space="preserve"> in der für die jeweilige Zuteilungsperiode geltenden Fassung</w:t>
      </w:r>
      <w:r w:rsidR="005B2D1F" w:rsidRPr="00373DC2">
        <w:rPr>
          <w:rFonts w:cstheme="minorHAnsi"/>
        </w:rPr>
        <w:t>.</w:t>
      </w:r>
    </w:p>
    <w:p w14:paraId="50267C60" w14:textId="093B7582" w:rsidR="00F43855" w:rsidRPr="00373DC2" w:rsidRDefault="00F43855" w:rsidP="00504AB3">
      <w:pPr>
        <w:pStyle w:val="Textkrper"/>
        <w:spacing w:line="240" w:lineRule="auto"/>
        <w:rPr>
          <w:rFonts w:cstheme="minorHAnsi"/>
        </w:rPr>
      </w:pPr>
      <w:r w:rsidRPr="00373DC2">
        <w:rPr>
          <w:rFonts w:cstheme="minorHAnsi"/>
        </w:rPr>
        <w:t xml:space="preserve">„Betriebskosten“: </w:t>
      </w:r>
      <w:r w:rsidR="00D3399C" w:rsidRPr="00373DC2">
        <w:rPr>
          <w:rFonts w:cstheme="minorHAnsi"/>
        </w:rPr>
        <w:t xml:space="preserve">projektbezogene </w:t>
      </w:r>
      <w:r w:rsidRPr="00373DC2">
        <w:rPr>
          <w:rFonts w:cstheme="minorHAnsi"/>
        </w:rPr>
        <w:t>Kosten wie Personal-, Material-, Fremdleistungs-, Kommunikations-, Energie-, Wartungs-, Miet- und Verwaltungskosten, nicht aber die Abschreibungs- und Finanzierungskosten, wenn sie durch die Investitionsbeihilfe gedeckt werden. Durch Abzinsung der Einnahmen und Betriebskosten unter Verwendung eines geeigneten Abzinsungssatzes wird gewährleistet, dass ein angemessener Gewinn erzielt werden kann.</w:t>
      </w:r>
    </w:p>
    <w:p w14:paraId="380DCE19" w14:textId="3025D792" w:rsidR="00711F42" w:rsidRPr="00373DC2" w:rsidRDefault="00083935" w:rsidP="00504AB3">
      <w:pPr>
        <w:pStyle w:val="Textkrper"/>
        <w:spacing w:line="240" w:lineRule="auto"/>
        <w:rPr>
          <w:rFonts w:cstheme="minorHAnsi"/>
        </w:rPr>
      </w:pPr>
      <w:r w:rsidRPr="00373DC2">
        <w:rPr>
          <w:rFonts w:cstheme="minorHAnsi"/>
        </w:rPr>
        <w:t>„</w:t>
      </w:r>
      <w:r w:rsidR="00711F42" w:rsidRPr="00373DC2">
        <w:rPr>
          <w:rFonts w:cstheme="minorHAnsi"/>
        </w:rPr>
        <w:t>Biomasse</w:t>
      </w:r>
      <w:r w:rsidRPr="00373DC2">
        <w:rPr>
          <w:rFonts w:cstheme="minorHAnsi"/>
        </w:rPr>
        <w:t>“</w:t>
      </w:r>
      <w:r w:rsidR="00711F42" w:rsidRPr="00373DC2">
        <w:rPr>
          <w:rFonts w:cstheme="minorHAnsi"/>
        </w:rPr>
        <w:t>: Sämtliche organische Stoffe biologischer Herkunft, die nicht fossilen Ursprungs sind. Insbesondere umfasst dies den biologisch abbaubaren Teil von Produkten, Abfällen und Reststoffen biologischen Ursprungs der Landwirtschaft, der Forstwirtschaft, weiterer Formen der Landnutzung und damit verbundener Wirtschaftszweige, einschließlich der Fischerei und der Aquakultur. Darüber hinaus umfasst dies den biologisch abbaubaren Teil von Abfällen, darunter auch Industrie- und Haushaltsabfälle biologischen Ursprungs, und organische Stoffe biologischer Herkunft, die durch eine technische Umwandlung bzw. eine vorhergehende Nutzung entstanden sind bzw. anfallen, sowie Rohstoffe und Energieträger, die aus Biomasse hergestellt werden.</w:t>
      </w:r>
    </w:p>
    <w:p w14:paraId="04A858AC" w14:textId="41E5EF93" w:rsidR="00855FED" w:rsidRPr="00373DC2" w:rsidRDefault="00083935" w:rsidP="00504AB3">
      <w:pPr>
        <w:pStyle w:val="Textkrper"/>
        <w:spacing w:line="240" w:lineRule="auto"/>
        <w:rPr>
          <w:rFonts w:cstheme="minorHAnsi"/>
        </w:rPr>
      </w:pPr>
      <w:r w:rsidRPr="00373DC2">
        <w:rPr>
          <w:rFonts w:cstheme="minorHAnsi"/>
        </w:rPr>
        <w:t>„</w:t>
      </w:r>
      <w:r w:rsidR="00AB607A" w:rsidRPr="00373DC2">
        <w:rPr>
          <w:rFonts w:cstheme="minorHAnsi"/>
        </w:rPr>
        <w:t>Carbon Capture and Storage</w:t>
      </w:r>
      <w:r w:rsidR="000D1DAA" w:rsidRPr="00373DC2">
        <w:rPr>
          <w:rFonts w:cstheme="minorHAnsi"/>
        </w:rPr>
        <w:t>“</w:t>
      </w:r>
      <w:r w:rsidR="00AB607A" w:rsidRPr="00373DC2">
        <w:rPr>
          <w:rFonts w:cstheme="minorHAnsi"/>
        </w:rPr>
        <w:t xml:space="preserve"> (</w:t>
      </w:r>
      <w:r w:rsidR="00855FED" w:rsidRPr="00373DC2">
        <w:rPr>
          <w:rFonts w:cstheme="minorHAnsi"/>
        </w:rPr>
        <w:t>CCS</w:t>
      </w:r>
      <w:r w:rsidR="00AB607A" w:rsidRPr="00373DC2">
        <w:rPr>
          <w:rFonts w:cstheme="minorHAnsi"/>
        </w:rPr>
        <w:t>)</w:t>
      </w:r>
      <w:r w:rsidR="00855FED" w:rsidRPr="00373DC2">
        <w:rPr>
          <w:rFonts w:cstheme="minorHAnsi"/>
        </w:rPr>
        <w:t xml:space="preserve">: </w:t>
      </w:r>
      <w:r w:rsidR="00D22A47" w:rsidRPr="00373DC2">
        <w:rPr>
          <w:rFonts w:cstheme="minorHAnsi"/>
        </w:rPr>
        <w:t xml:space="preserve"> Technologie</w:t>
      </w:r>
      <w:r w:rsidR="00FA67A3" w:rsidRPr="00373DC2">
        <w:rPr>
          <w:rFonts w:cstheme="minorHAnsi"/>
        </w:rPr>
        <w:t>n</w:t>
      </w:r>
      <w:r w:rsidR="00D22A47" w:rsidRPr="00373DC2">
        <w:rPr>
          <w:rFonts w:cstheme="minorHAnsi"/>
        </w:rPr>
        <w:t>, mit de</w:t>
      </w:r>
      <w:r w:rsidR="00D6090C" w:rsidRPr="00373DC2">
        <w:rPr>
          <w:rFonts w:cstheme="minorHAnsi"/>
        </w:rPr>
        <w:t>nen</w:t>
      </w:r>
      <w:r w:rsidR="00D22A47" w:rsidRPr="00373DC2">
        <w:rPr>
          <w:rFonts w:cstheme="minorHAnsi"/>
        </w:rPr>
        <w:t xml:space="preserve"> CO</w:t>
      </w:r>
      <w:r w:rsidR="00D22A47" w:rsidRPr="00373DC2">
        <w:rPr>
          <w:rFonts w:cstheme="minorHAnsi"/>
          <w:vertAlign w:val="subscript"/>
        </w:rPr>
        <w:t>2</w:t>
      </w:r>
      <w:r w:rsidR="00D22A47" w:rsidRPr="00373DC2">
        <w:rPr>
          <w:rFonts w:cstheme="minorHAnsi"/>
        </w:rPr>
        <w:t xml:space="preserve"> aus den Emissionen von </w:t>
      </w:r>
      <w:r w:rsidR="00D6090C" w:rsidRPr="00373DC2">
        <w:rPr>
          <w:rFonts w:cstheme="minorHAnsi"/>
        </w:rPr>
        <w:t xml:space="preserve">stationären </w:t>
      </w:r>
      <w:r w:rsidR="003575D0" w:rsidRPr="00373DC2">
        <w:rPr>
          <w:rFonts w:cstheme="minorHAnsi"/>
        </w:rPr>
        <w:t>A</w:t>
      </w:r>
      <w:r w:rsidR="00D22A47" w:rsidRPr="00373DC2">
        <w:rPr>
          <w:rFonts w:cstheme="minorHAnsi"/>
        </w:rPr>
        <w:t xml:space="preserve">nlagen oder direkt aus der Umgebungsluft abgeschieden, zu einer Speicherstätte </w:t>
      </w:r>
      <w:r w:rsidR="00D22A47" w:rsidRPr="00373DC2" w:rsidDel="00B90217">
        <w:rPr>
          <w:rFonts w:cstheme="minorHAnsi"/>
        </w:rPr>
        <w:t xml:space="preserve">transportiert und </w:t>
      </w:r>
      <w:r w:rsidR="00690083" w:rsidRPr="00373DC2">
        <w:rPr>
          <w:rFonts w:cstheme="minorHAnsi"/>
        </w:rPr>
        <w:t>dort dauerhaft gespeichert</w:t>
      </w:r>
      <w:r w:rsidR="00D22A47" w:rsidRPr="00373DC2">
        <w:rPr>
          <w:rFonts w:cstheme="minorHAnsi"/>
        </w:rPr>
        <w:t xml:space="preserve"> w</w:t>
      </w:r>
      <w:r w:rsidR="00D6090C" w:rsidRPr="00373DC2">
        <w:rPr>
          <w:rFonts w:cstheme="minorHAnsi"/>
        </w:rPr>
        <w:t>ird</w:t>
      </w:r>
      <w:r w:rsidR="00D22A47" w:rsidRPr="00373DC2">
        <w:rPr>
          <w:rFonts w:cstheme="minorHAnsi"/>
        </w:rPr>
        <w:t>.</w:t>
      </w:r>
      <w:r w:rsidR="00AB607A" w:rsidRPr="00373DC2">
        <w:rPr>
          <w:rFonts w:cstheme="minorHAnsi"/>
        </w:rPr>
        <w:t xml:space="preserve"> </w:t>
      </w:r>
      <w:r w:rsidR="00855FED" w:rsidRPr="00373DC2">
        <w:rPr>
          <w:rFonts w:cstheme="minorHAnsi"/>
        </w:rPr>
        <w:t xml:space="preserve">Die Einsparungen bei den Lebenszyklus-THG-Emissionen werden nach der in </w:t>
      </w:r>
      <w:r w:rsidR="001A4F3E" w:rsidRPr="00373DC2">
        <w:rPr>
          <w:rFonts w:cstheme="minorHAnsi"/>
        </w:rPr>
        <w:t>Art.</w:t>
      </w:r>
      <w:r w:rsidR="00855FED" w:rsidRPr="00373DC2">
        <w:rPr>
          <w:rFonts w:cstheme="minorHAnsi"/>
        </w:rPr>
        <w:t xml:space="preserve"> 28 </w:t>
      </w:r>
      <w:r w:rsidR="001A4F3E" w:rsidRPr="00373DC2">
        <w:rPr>
          <w:rFonts w:cstheme="minorHAnsi"/>
        </w:rPr>
        <w:t>Abs.</w:t>
      </w:r>
      <w:r w:rsidR="00855FED" w:rsidRPr="00373DC2">
        <w:rPr>
          <w:rFonts w:cstheme="minorHAnsi"/>
        </w:rPr>
        <w:t xml:space="preserve"> 5 der Richtlinie (EU) 2018/2001 genannten Methode oder alternativ gemäß ISO 14067:2018 (119) oder ISO 14064-1:2018 (120) berechnet.</w:t>
      </w:r>
    </w:p>
    <w:p w14:paraId="741A2027" w14:textId="77777777" w:rsidR="00030993" w:rsidRPr="001C5943" w:rsidRDefault="00083935" w:rsidP="00504AB3">
      <w:pPr>
        <w:spacing w:line="240" w:lineRule="auto"/>
        <w:rPr>
          <w:rFonts w:cstheme="minorHAnsi"/>
        </w:rPr>
      </w:pPr>
      <w:r w:rsidRPr="00373DC2">
        <w:rPr>
          <w:rFonts w:cstheme="minorHAnsi"/>
        </w:rPr>
        <w:t>„</w:t>
      </w:r>
      <w:r w:rsidR="00AB607A" w:rsidRPr="00373DC2">
        <w:rPr>
          <w:rFonts w:cstheme="minorHAnsi"/>
        </w:rPr>
        <w:t>Carbon Capture and Utilization</w:t>
      </w:r>
      <w:r w:rsidR="000D1DAA" w:rsidRPr="00373DC2">
        <w:rPr>
          <w:rFonts w:cstheme="minorHAnsi"/>
        </w:rPr>
        <w:t>“</w:t>
      </w:r>
      <w:r w:rsidR="00AB607A" w:rsidRPr="00373DC2">
        <w:rPr>
          <w:rFonts w:cstheme="minorHAnsi"/>
        </w:rPr>
        <w:t xml:space="preserve"> (</w:t>
      </w:r>
      <w:r w:rsidR="0017355C" w:rsidRPr="00373DC2">
        <w:rPr>
          <w:rFonts w:cstheme="minorHAnsi"/>
        </w:rPr>
        <w:t>CCU</w:t>
      </w:r>
      <w:r w:rsidR="00AB607A" w:rsidRPr="00373DC2">
        <w:rPr>
          <w:rFonts w:cstheme="minorHAnsi"/>
        </w:rPr>
        <w:t>)</w:t>
      </w:r>
      <w:r w:rsidR="0017355C" w:rsidRPr="00373DC2">
        <w:rPr>
          <w:rFonts w:cstheme="minorHAnsi"/>
        </w:rPr>
        <w:t>:</w:t>
      </w:r>
      <w:r w:rsidR="00D23904" w:rsidRPr="00373DC2">
        <w:rPr>
          <w:rFonts w:cstheme="minorHAnsi"/>
        </w:rPr>
        <w:t xml:space="preserve"> </w:t>
      </w:r>
      <w:r w:rsidR="00D22A47" w:rsidRPr="00373DC2">
        <w:rPr>
          <w:rFonts w:cstheme="minorHAnsi"/>
        </w:rPr>
        <w:t xml:space="preserve"> Technologie</w:t>
      </w:r>
      <w:r w:rsidR="00FA67A3" w:rsidRPr="00373DC2">
        <w:rPr>
          <w:rFonts w:cstheme="minorHAnsi"/>
        </w:rPr>
        <w:t>n</w:t>
      </w:r>
      <w:r w:rsidR="00D22A47" w:rsidRPr="00373DC2">
        <w:rPr>
          <w:rFonts w:cstheme="minorHAnsi"/>
        </w:rPr>
        <w:t>, mit der CO</w:t>
      </w:r>
      <w:r w:rsidR="00D22A47" w:rsidRPr="00373DC2">
        <w:rPr>
          <w:rFonts w:cstheme="minorHAnsi"/>
          <w:vertAlign w:val="subscript"/>
        </w:rPr>
        <w:t>2</w:t>
      </w:r>
      <w:r w:rsidR="00D22A47" w:rsidRPr="00373DC2">
        <w:rPr>
          <w:rFonts w:cstheme="minorHAnsi"/>
        </w:rPr>
        <w:t xml:space="preserve"> aus den Emissionen von </w:t>
      </w:r>
      <w:r w:rsidR="00DD43C3" w:rsidRPr="00373DC2">
        <w:rPr>
          <w:rFonts w:cstheme="minorHAnsi"/>
        </w:rPr>
        <w:t xml:space="preserve">stationären </w:t>
      </w:r>
      <w:r w:rsidR="003575D0" w:rsidRPr="00373DC2">
        <w:rPr>
          <w:rFonts w:cstheme="minorHAnsi"/>
        </w:rPr>
        <w:t>A</w:t>
      </w:r>
      <w:r w:rsidR="00D22A47" w:rsidRPr="00373DC2">
        <w:rPr>
          <w:rFonts w:cstheme="minorHAnsi"/>
        </w:rPr>
        <w:t>nlagen oder direkt aus der Umgebungsluft abgeschieden und an einen Ort transportiert w</w:t>
      </w:r>
      <w:r w:rsidR="00DD43C3" w:rsidRPr="00373DC2">
        <w:rPr>
          <w:rFonts w:cstheme="minorHAnsi"/>
        </w:rPr>
        <w:t>ird</w:t>
      </w:r>
      <w:r w:rsidR="00D22A47" w:rsidRPr="00373DC2">
        <w:rPr>
          <w:rFonts w:cstheme="minorHAnsi"/>
        </w:rPr>
        <w:t>, an dem das CO</w:t>
      </w:r>
      <w:r w:rsidR="00D22A47" w:rsidRPr="00373DC2">
        <w:rPr>
          <w:rFonts w:cstheme="minorHAnsi"/>
          <w:vertAlign w:val="subscript"/>
        </w:rPr>
        <w:t>2</w:t>
      </w:r>
      <w:r w:rsidR="00D22A47" w:rsidRPr="00373DC2">
        <w:rPr>
          <w:rFonts w:cstheme="minorHAnsi"/>
        </w:rPr>
        <w:t xml:space="preserve"> vollständig verbraucht </w:t>
      </w:r>
      <w:r w:rsidR="00D22A47" w:rsidRPr="001C5943">
        <w:rPr>
          <w:rFonts w:cstheme="minorHAnsi"/>
        </w:rPr>
        <w:t>bzw. genutzt wird.</w:t>
      </w:r>
    </w:p>
    <w:p w14:paraId="27FA43BC" w14:textId="59CD3629" w:rsidR="00AD2E60" w:rsidRPr="001C5943" w:rsidRDefault="00D30F44" w:rsidP="00504AB3">
      <w:pPr>
        <w:spacing w:line="240" w:lineRule="auto"/>
        <w:rPr>
          <w:rFonts w:cstheme="minorHAnsi"/>
        </w:rPr>
      </w:pPr>
      <w:r w:rsidRPr="001C5943" w:rsidDel="00D30F44">
        <w:rPr>
          <w:rFonts w:cstheme="minorHAnsi"/>
        </w:rPr>
        <w:t xml:space="preserve"> </w:t>
      </w:r>
      <w:r w:rsidR="00AD2E60" w:rsidRPr="001C5943">
        <w:rPr>
          <w:rFonts w:cstheme="minorHAnsi"/>
        </w:rPr>
        <w:t xml:space="preserve">„Erneuerbarer Wasserstoff“: </w:t>
      </w:r>
      <w:bookmarkStart w:id="13" w:name="_Hlk147856484"/>
      <w:r w:rsidR="00AD2E60" w:rsidRPr="001C5943">
        <w:rPr>
          <w:rFonts w:cstheme="minorHAnsi"/>
        </w:rPr>
        <w:t>Wasserstoff, der im Einklang mit den Methoden, die in der Richtlinie (EU) 2018/2001 und den zugehörigen Durchführungsrechtsakten bzw. delegierten Rechtsakten für flüssige oder gasförmige erneuerbare Kraftstoffe nicht biogenen Ursprungs festgelegt sind, aus erneuerbaren Energiequellen erzeugt wird</w:t>
      </w:r>
      <w:bookmarkEnd w:id="13"/>
      <w:r w:rsidR="00AD2E60" w:rsidRPr="001C5943">
        <w:rPr>
          <w:rFonts w:cstheme="minorHAnsi"/>
        </w:rPr>
        <w:t>.</w:t>
      </w:r>
    </w:p>
    <w:p w14:paraId="092CB03A" w14:textId="6C545E40" w:rsidR="00521324" w:rsidRPr="00373DC2" w:rsidRDefault="00DD1815" w:rsidP="00504AB3">
      <w:pPr>
        <w:spacing w:line="240" w:lineRule="auto"/>
        <w:rPr>
          <w:rFonts w:cstheme="minorHAnsi"/>
        </w:rPr>
      </w:pPr>
      <w:r w:rsidRPr="001C5943">
        <w:rPr>
          <w:rFonts w:cstheme="minorHAnsi"/>
        </w:rPr>
        <w:t xml:space="preserve">„Forschungseinrichtung“: </w:t>
      </w:r>
      <w:r w:rsidR="00583E88" w:rsidRPr="001C5943">
        <w:rPr>
          <w:rFonts w:cstheme="minorHAnsi"/>
        </w:rPr>
        <w:t>Einrichtung für Forschung und Wissensverbreitung entsprechend Art. 2 Nr. 83 AGVO.</w:t>
      </w:r>
      <w:bookmarkEnd w:id="12"/>
    </w:p>
    <w:p w14:paraId="0641E0B9" w14:textId="77777777" w:rsidR="00AD2E60" w:rsidRPr="00373DC2" w:rsidRDefault="00AD2E60" w:rsidP="00504AB3">
      <w:pPr>
        <w:pStyle w:val="Textkrper"/>
        <w:spacing w:line="240" w:lineRule="auto"/>
        <w:rPr>
          <w:rFonts w:cstheme="minorHAnsi"/>
        </w:rPr>
      </w:pPr>
      <w:bookmarkStart w:id="14" w:name="_Hlk146035373"/>
      <w:r w:rsidRPr="00373DC2">
        <w:rPr>
          <w:rFonts w:cstheme="minorHAnsi"/>
        </w:rPr>
        <w:t>„Gewidmete Infrastruktur“: Infrastruktur für Kohlenstoffdioxid i.S.v. Art. 2 Nr. 130 lit. d AGVO, die für eine kleine Gruppe vorab festgelegter Nutzer errichtet wird und auf deren Bedarf zugeschnitten ist.</w:t>
      </w:r>
    </w:p>
    <w:p w14:paraId="4D55815F" w14:textId="1338BB07" w:rsidR="006043C4" w:rsidRPr="00373DC2" w:rsidRDefault="006043C4" w:rsidP="00504AB3">
      <w:pPr>
        <w:spacing w:line="240" w:lineRule="auto"/>
        <w:rPr>
          <w:rFonts w:cstheme="minorHAnsi"/>
        </w:rPr>
      </w:pPr>
      <w:r w:rsidRPr="00373DC2">
        <w:rPr>
          <w:rFonts w:cstheme="minorHAnsi"/>
        </w:rPr>
        <w:lastRenderedPageBreak/>
        <w:t>„</w:t>
      </w:r>
      <w:r w:rsidR="00B90217" w:rsidRPr="00373DC2">
        <w:rPr>
          <w:rFonts w:cstheme="minorHAnsi"/>
        </w:rPr>
        <w:t>I</w:t>
      </w:r>
      <w:r w:rsidRPr="00373DC2">
        <w:rPr>
          <w:rFonts w:cstheme="minorHAnsi"/>
        </w:rPr>
        <w:t>ndustrielle Prozesse</w:t>
      </w:r>
      <w:r w:rsidR="008B4D60" w:rsidRPr="00373DC2">
        <w:rPr>
          <w:rFonts w:cstheme="minorHAnsi"/>
        </w:rPr>
        <w:t xml:space="preserve">“: </w:t>
      </w:r>
      <w:r w:rsidR="007411F5" w:rsidRPr="00373DC2">
        <w:rPr>
          <w:rFonts w:cstheme="minorHAnsi"/>
        </w:rPr>
        <w:t xml:space="preserve">Standardisierte </w:t>
      </w:r>
      <w:r w:rsidR="008B4D60" w:rsidRPr="00373DC2">
        <w:rPr>
          <w:rFonts w:cstheme="minorHAnsi"/>
        </w:rPr>
        <w:t xml:space="preserve">Prozesse, die </w:t>
      </w:r>
      <w:r w:rsidR="007411F5" w:rsidRPr="00373DC2">
        <w:rPr>
          <w:rFonts w:cstheme="minorHAnsi"/>
        </w:rPr>
        <w:t xml:space="preserve">zur Herstellung von materiellen Gütern in großer Stückzahl </w:t>
      </w:r>
      <w:r w:rsidR="002E4F26" w:rsidRPr="00373DC2">
        <w:rPr>
          <w:rFonts w:cstheme="minorHAnsi"/>
        </w:rPr>
        <w:t xml:space="preserve">oder Mengen </w:t>
      </w:r>
      <w:r w:rsidR="007411F5" w:rsidRPr="00373DC2">
        <w:rPr>
          <w:rFonts w:cstheme="minorHAnsi"/>
        </w:rPr>
        <w:t xml:space="preserve">in </w:t>
      </w:r>
      <w:r w:rsidR="002E4F26" w:rsidRPr="00373DC2">
        <w:rPr>
          <w:rFonts w:cstheme="minorHAnsi"/>
        </w:rPr>
        <w:t xml:space="preserve">hierfür errichteten </w:t>
      </w:r>
      <w:r w:rsidR="007411F5" w:rsidRPr="00373DC2">
        <w:rPr>
          <w:rFonts w:cstheme="minorHAnsi"/>
        </w:rPr>
        <w:t>Anlagen dienen.</w:t>
      </w:r>
    </w:p>
    <w:p w14:paraId="563677FB" w14:textId="44B477B1" w:rsidR="00AD7A40" w:rsidRPr="00373DC2" w:rsidRDefault="00083935" w:rsidP="00504AB3">
      <w:pPr>
        <w:spacing w:line="240" w:lineRule="auto"/>
        <w:rPr>
          <w:rFonts w:cstheme="minorHAnsi"/>
        </w:rPr>
      </w:pPr>
      <w:r w:rsidRPr="00373DC2">
        <w:rPr>
          <w:rFonts w:cstheme="minorHAnsi"/>
        </w:rPr>
        <w:t>„</w:t>
      </w:r>
      <w:r w:rsidR="00C57016" w:rsidRPr="00373DC2">
        <w:rPr>
          <w:rFonts w:cstheme="minorHAnsi"/>
        </w:rPr>
        <w:t>Kleine und mittlere Unternehmen</w:t>
      </w:r>
      <w:r w:rsidRPr="00373DC2">
        <w:rPr>
          <w:rFonts w:cstheme="minorHAnsi"/>
        </w:rPr>
        <w:t>“</w:t>
      </w:r>
      <w:r w:rsidR="00AD7A40" w:rsidRPr="00373DC2">
        <w:rPr>
          <w:rFonts w:cstheme="minorHAnsi"/>
        </w:rPr>
        <w:t>:</w:t>
      </w:r>
      <w:r w:rsidR="00C57016" w:rsidRPr="00373DC2">
        <w:rPr>
          <w:rFonts w:cstheme="minorHAnsi"/>
        </w:rPr>
        <w:t xml:space="preserve"> Unternehmen gemäß der Definition im Anhang 1 </w:t>
      </w:r>
      <w:r w:rsidR="00C749C5" w:rsidRPr="00373DC2">
        <w:rPr>
          <w:rFonts w:cstheme="minorHAnsi"/>
        </w:rPr>
        <w:t>AGVO</w:t>
      </w:r>
      <w:r w:rsidR="00C57016" w:rsidRPr="00373DC2">
        <w:rPr>
          <w:rFonts w:cstheme="minorHAnsi"/>
        </w:rPr>
        <w:t>.</w:t>
      </w:r>
    </w:p>
    <w:p w14:paraId="12714F14" w14:textId="3649B4A0" w:rsidR="00766F26" w:rsidRPr="00373DC2" w:rsidRDefault="001C12ED" w:rsidP="00504AB3">
      <w:pPr>
        <w:pStyle w:val="Textkrper"/>
        <w:spacing w:line="240" w:lineRule="auto"/>
        <w:rPr>
          <w:rFonts w:cstheme="minorHAnsi"/>
        </w:rPr>
      </w:pPr>
      <w:r w:rsidRPr="00373DC2" w:rsidDel="001C12ED">
        <w:rPr>
          <w:rFonts w:cstheme="minorHAnsi"/>
        </w:rPr>
        <w:t xml:space="preserve"> </w:t>
      </w:r>
      <w:r w:rsidR="00766F26" w:rsidRPr="00373DC2">
        <w:rPr>
          <w:rFonts w:cstheme="minorHAnsi"/>
        </w:rPr>
        <w:t>„Scope 1-Emissionen“</w:t>
      </w:r>
      <w:r w:rsidR="00554B9F" w:rsidRPr="00373DC2">
        <w:rPr>
          <w:rFonts w:cstheme="minorHAnsi"/>
        </w:rPr>
        <w:t xml:space="preserve">: </w:t>
      </w:r>
      <w:r w:rsidR="005D2BAB" w:rsidRPr="00373DC2">
        <w:rPr>
          <w:rFonts w:cstheme="minorHAnsi"/>
        </w:rPr>
        <w:t xml:space="preserve">Direkte </w:t>
      </w:r>
      <w:r w:rsidR="00795939" w:rsidRPr="00373DC2">
        <w:rPr>
          <w:rFonts w:cstheme="minorHAnsi"/>
        </w:rPr>
        <w:t>Treibhausgase</w:t>
      </w:r>
      <w:r w:rsidR="00554B9F" w:rsidRPr="00373DC2">
        <w:rPr>
          <w:rFonts w:cstheme="minorHAnsi"/>
        </w:rPr>
        <w:t xml:space="preserve">missionen </w:t>
      </w:r>
      <w:r w:rsidR="00554B9F" w:rsidRPr="00373DC2" w:rsidDel="00131D91">
        <w:rPr>
          <w:rFonts w:cstheme="minorHAnsi"/>
        </w:rPr>
        <w:t>aus Quellen, die direkt von Unternehmen verantwortet oder kontrolliert werden</w:t>
      </w:r>
      <w:r w:rsidR="005A092D" w:rsidRPr="00373DC2">
        <w:rPr>
          <w:rFonts w:cstheme="minorHAnsi"/>
        </w:rPr>
        <w:t>,</w:t>
      </w:r>
      <w:r w:rsidR="005A092D" w:rsidRPr="00373DC2" w:rsidDel="00B90217">
        <w:rPr>
          <w:rFonts w:cstheme="minorHAnsi"/>
        </w:rPr>
        <w:t xml:space="preserve"> </w:t>
      </w:r>
      <w:r w:rsidR="00131D91" w:rsidRPr="00373DC2">
        <w:rPr>
          <w:rFonts w:cstheme="minorHAnsi"/>
        </w:rPr>
        <w:t>d.h. durch Anlagen des Projekts entstehen</w:t>
      </w:r>
      <w:r w:rsidR="00554B9F" w:rsidRPr="00373DC2">
        <w:rPr>
          <w:rFonts w:cstheme="minorHAnsi"/>
        </w:rPr>
        <w:t>.</w:t>
      </w:r>
    </w:p>
    <w:p w14:paraId="0F590309" w14:textId="0417BF37" w:rsidR="00766F26" w:rsidRPr="00373DC2" w:rsidRDefault="00766F26" w:rsidP="00504AB3">
      <w:pPr>
        <w:pStyle w:val="Textkrper"/>
        <w:spacing w:line="240" w:lineRule="auto"/>
        <w:rPr>
          <w:rFonts w:cstheme="minorHAnsi"/>
        </w:rPr>
      </w:pPr>
      <w:r w:rsidRPr="00373DC2">
        <w:rPr>
          <w:rFonts w:cstheme="minorHAnsi"/>
        </w:rPr>
        <w:t>„Scope 2-Emissionen“</w:t>
      </w:r>
      <w:r w:rsidR="00687886" w:rsidRPr="00373DC2">
        <w:rPr>
          <w:rFonts w:cstheme="minorHAnsi"/>
        </w:rPr>
        <w:t xml:space="preserve">: </w:t>
      </w:r>
      <w:r w:rsidR="005D2BAB" w:rsidRPr="00373DC2">
        <w:rPr>
          <w:rFonts w:cstheme="minorHAnsi"/>
        </w:rPr>
        <w:t xml:space="preserve">Indirekte </w:t>
      </w:r>
      <w:r w:rsidR="00DA6C89" w:rsidRPr="00373DC2">
        <w:rPr>
          <w:rFonts w:cstheme="minorHAnsi"/>
        </w:rPr>
        <w:t>Treibhausgase</w:t>
      </w:r>
      <w:r w:rsidR="005D2BAB" w:rsidRPr="00373DC2">
        <w:rPr>
          <w:rFonts w:cstheme="minorHAnsi"/>
        </w:rPr>
        <w:t>missionen aus importierter Energie in Form von Strom, Dampf, Wärme, Kühlung und Druckluft. Hierbei sind die Emissionen aus der Verbrennung von fossilen Brennstoffen anzusetzen, nicht aber vorgelagerte Emissionen.</w:t>
      </w:r>
      <w:r w:rsidR="005D2BAB" w:rsidRPr="00373DC2" w:rsidDel="005D2BAB">
        <w:rPr>
          <w:rFonts w:cstheme="minorHAnsi"/>
        </w:rPr>
        <w:t xml:space="preserve"> </w:t>
      </w:r>
    </w:p>
    <w:p w14:paraId="5E6946AE" w14:textId="250BEAE9" w:rsidR="00830781" w:rsidRDefault="00AD2E60" w:rsidP="00504AB3">
      <w:pPr>
        <w:pStyle w:val="Textkrper"/>
        <w:spacing w:line="240" w:lineRule="auto"/>
        <w:rPr>
          <w:rFonts w:eastAsia="Calibri" w:cstheme="minorHAnsi"/>
        </w:rPr>
      </w:pPr>
      <w:bookmarkStart w:id="15" w:name="_Hlk146555970"/>
      <w:r w:rsidRPr="00B571EA">
        <w:rPr>
          <w:rFonts w:eastAsia="Calibri" w:cstheme="minorHAnsi"/>
          <w:highlight w:val="yellow"/>
        </w:rPr>
        <w:t xml:space="preserve">„Strombasierter Wasserstoff“: Wasserstoff, </w:t>
      </w:r>
      <w:r w:rsidR="00B236E1" w:rsidRPr="00B571EA">
        <w:rPr>
          <w:rFonts w:eastAsia="Calibri" w:cstheme="minorHAnsi"/>
          <w:highlight w:val="yellow"/>
        </w:rPr>
        <w:t xml:space="preserve">für den sicherstellt ist, dass er gegenüber dem Vergleichswert für fossile Brennstoffe von 94 Gramm CO2-Äquivalent je Megajoule während des Lebenszyklus eine Treibhausgasemissionseinsparung von mindestens 70 % ermöglicht und aus fossilfreien Quellen stammt. Die Methode zur Berechnung der Treibhausgasemissionen, die dem Strom zugewiesen werden, sollten im Einklang mit den REPowerEU-Zielen nicht zu einem höheren Verbrauch von fossilen Brennstoffen führen. </w:t>
      </w:r>
      <w:r w:rsidR="00B571EA" w:rsidRPr="00B571EA">
        <w:rPr>
          <w:rFonts w:eastAsia="Calibri" w:cstheme="minorHAnsi"/>
          <w:highlight w:val="yellow"/>
        </w:rPr>
        <w:t>Es</w:t>
      </w:r>
      <w:r w:rsidR="00B236E1" w:rsidRPr="00B571EA">
        <w:rPr>
          <w:rFonts w:eastAsia="Calibri" w:cstheme="minorHAnsi"/>
          <w:highlight w:val="yellow"/>
        </w:rPr>
        <w:t xml:space="preserve"> kann nur der Anteil des erzeugten Wasserstoffs herangezogen werden, der dem zwei Jahre vor dem betreffenden Jahr im Land der Erzeugung gemessenen durchschnittlichen Anteil des Stroms aus Kraftwerken zur  Erzeugung fossilfreien Stroms entspricht. Der Anteil des gemäß dieser Ziffer erzeugten Wasserstoffs, der dem zwei Jahre vor dem betreffenden Jahr im Land der Erzeugung gemessenen  durchschnittlichen Anteil des Stroms aus Kraftwerken zur Erzeugung erneuerbaren Stroms entspricht, kann, soweit er bereits als erneuerbarer Wasserstoff gezählt wurde, nicht nach dieser Definition ein zweites Mal gezählt werden.</w:t>
      </w:r>
      <w:r w:rsidR="00B236E1" w:rsidRPr="00B236E1">
        <w:rPr>
          <w:rFonts w:eastAsia="Calibri" w:cstheme="minorHAnsi"/>
        </w:rPr>
        <w:t xml:space="preserve">   </w:t>
      </w:r>
      <w:bookmarkEnd w:id="15"/>
    </w:p>
    <w:p w14:paraId="62E1CE1D" w14:textId="0047D2A9" w:rsidR="00AD2E60" w:rsidRPr="00373DC2" w:rsidRDefault="00AD2E60" w:rsidP="00504AB3">
      <w:pPr>
        <w:pStyle w:val="Textkrper"/>
        <w:spacing w:line="240" w:lineRule="auto"/>
        <w:rPr>
          <w:rFonts w:cstheme="minorHAnsi"/>
        </w:rPr>
      </w:pPr>
      <w:r w:rsidRPr="00B236E1">
        <w:rPr>
          <w:rFonts w:eastAsia="Calibri" w:cstheme="minorHAnsi"/>
        </w:rPr>
        <w:t>„</w:t>
      </w:r>
      <w:r w:rsidRPr="00B236E1">
        <w:rPr>
          <w:rFonts w:eastAsia="Calibri" w:cstheme="minorHAnsi"/>
          <w:lang w:val="x-none"/>
        </w:rPr>
        <w:t xml:space="preserve">Technology </w:t>
      </w:r>
      <w:proofErr w:type="spellStart"/>
      <w:r w:rsidRPr="00B236E1">
        <w:rPr>
          <w:rFonts w:eastAsia="Calibri" w:cstheme="minorHAnsi"/>
          <w:lang w:val="x-none"/>
        </w:rPr>
        <w:t>Readiness</w:t>
      </w:r>
      <w:proofErr w:type="spellEnd"/>
      <w:r w:rsidRPr="00B236E1">
        <w:rPr>
          <w:rFonts w:eastAsia="Calibri" w:cstheme="minorHAnsi"/>
          <w:lang w:val="x-none"/>
        </w:rPr>
        <w:t xml:space="preserve"> Level (TRL)</w:t>
      </w:r>
      <w:r w:rsidRPr="00B236E1">
        <w:rPr>
          <w:rFonts w:eastAsia="Calibri" w:cstheme="minorHAnsi"/>
        </w:rPr>
        <w:t>“:</w:t>
      </w:r>
      <w:r w:rsidRPr="00B236E1">
        <w:rPr>
          <w:rFonts w:eastAsia="Calibri" w:cstheme="minorHAnsi"/>
          <w:lang w:val="x-none"/>
        </w:rPr>
        <w:t xml:space="preserve"> </w:t>
      </w:r>
      <w:r w:rsidRPr="00B236E1">
        <w:rPr>
          <w:rFonts w:cstheme="minorHAnsi"/>
          <w:color w:val="333333"/>
          <w:shd w:val="clear" w:color="auto" w:fill="FFFFFF"/>
        </w:rPr>
        <w:t xml:space="preserve">Technologie-Reifegrad nach der Definition der </w:t>
      </w:r>
      <w:r w:rsidRPr="00B236E1">
        <w:rPr>
          <w:rFonts w:cstheme="minorHAnsi"/>
          <w:color w:val="000000" w:themeColor="text1"/>
        </w:rPr>
        <w:t>Europäischen Kommission</w:t>
      </w:r>
      <w:r w:rsidR="00B236E1">
        <w:rPr>
          <w:rFonts w:cstheme="minorHAnsi"/>
          <w:color w:val="000000" w:themeColor="text1"/>
        </w:rPr>
        <w:t>.</w:t>
      </w:r>
      <w:r w:rsidRPr="00B236E1">
        <w:rPr>
          <w:rStyle w:val="Funotenzeichen"/>
          <w:rFonts w:eastAsia="Calibri" w:cstheme="minorHAnsi"/>
        </w:rPr>
        <w:footnoteReference w:id="11"/>
      </w:r>
    </w:p>
    <w:p w14:paraId="16DB4C86" w14:textId="6149BFC4" w:rsidR="00352B6F" w:rsidRPr="00373DC2" w:rsidRDefault="00352B6F" w:rsidP="00504AB3">
      <w:pPr>
        <w:pStyle w:val="Textkrper"/>
        <w:spacing w:line="240" w:lineRule="auto"/>
        <w:rPr>
          <w:rFonts w:cstheme="minorHAnsi"/>
        </w:rPr>
      </w:pPr>
      <w:bookmarkStart w:id="16" w:name="_Hlk146035385"/>
      <w:bookmarkEnd w:id="14"/>
      <w:r w:rsidRPr="00373DC2">
        <w:rPr>
          <w:rFonts w:cstheme="minorHAnsi"/>
        </w:rPr>
        <w:t>„T</w:t>
      </w:r>
      <w:r w:rsidR="00B90217" w:rsidRPr="00373DC2">
        <w:rPr>
          <w:rFonts w:cstheme="minorHAnsi"/>
        </w:rPr>
        <w:t>reibhausgase</w:t>
      </w:r>
      <w:r w:rsidRPr="00373DC2">
        <w:rPr>
          <w:rFonts w:cstheme="minorHAnsi"/>
        </w:rPr>
        <w:t>missionen“: Die anthropogene Freisetzung von Treibhausgasen in Tonnen Kohlenstoffdioxidäquivalent, wobei eine Tonne Kohlenstoffdioxidäquivalent eine Tonne CO</w:t>
      </w:r>
      <w:r w:rsidRPr="00373DC2">
        <w:rPr>
          <w:rFonts w:cstheme="minorHAnsi"/>
          <w:vertAlign w:val="subscript"/>
        </w:rPr>
        <w:t>2</w:t>
      </w:r>
      <w:r w:rsidRPr="00373DC2">
        <w:rPr>
          <w:rFonts w:cstheme="minorHAnsi"/>
        </w:rPr>
        <w:t xml:space="preserve"> oder die Menge eines anderen Treibhausgases ist, die in ihrem Potenzial zur Erwärmung der Atmosphäre einer Tonne CO</w:t>
      </w:r>
      <w:r w:rsidRPr="00373DC2">
        <w:rPr>
          <w:rFonts w:cstheme="minorHAnsi"/>
          <w:vertAlign w:val="subscript"/>
        </w:rPr>
        <w:t xml:space="preserve">2 </w:t>
      </w:r>
      <w:r w:rsidRPr="00373DC2">
        <w:rPr>
          <w:rFonts w:cstheme="minorHAnsi"/>
        </w:rPr>
        <w:t xml:space="preserve">entspricht; das Potenzial richtet sich nach der Delegierten Verordnung (EU) 2020/1044 der </w:t>
      </w:r>
      <w:r w:rsidR="0034465B" w:rsidRPr="00373DC2">
        <w:rPr>
          <w:rFonts w:cstheme="minorHAnsi"/>
          <w:color w:val="000000" w:themeColor="text1"/>
        </w:rPr>
        <w:t>Europäischen Kommission</w:t>
      </w:r>
      <w:r w:rsidRPr="00373DC2">
        <w:rPr>
          <w:rFonts w:cstheme="minorHAnsi"/>
        </w:rPr>
        <w:t xml:space="preserve"> oder nach einer aufgrund von Art. 26 Abs. 6 lit. b der Europäischen Governance-Verordnung erlassenen Nachfolgeregelung.</w:t>
      </w:r>
    </w:p>
    <w:p w14:paraId="30845647" w14:textId="4475DC7E" w:rsidR="00855FED" w:rsidRPr="00373DC2" w:rsidRDefault="00083935" w:rsidP="00504AB3">
      <w:pPr>
        <w:pStyle w:val="Textkrper"/>
        <w:spacing w:line="240" w:lineRule="auto"/>
        <w:rPr>
          <w:rFonts w:cstheme="minorHAnsi"/>
        </w:rPr>
      </w:pPr>
      <w:r w:rsidRPr="00373DC2">
        <w:rPr>
          <w:rFonts w:cstheme="minorHAnsi"/>
        </w:rPr>
        <w:t>„</w:t>
      </w:r>
      <w:r w:rsidR="00855FED" w:rsidRPr="00373DC2">
        <w:rPr>
          <w:rFonts w:cstheme="minorHAnsi"/>
        </w:rPr>
        <w:t>Treibhausgase (THG)</w:t>
      </w:r>
      <w:r w:rsidRPr="00373DC2">
        <w:rPr>
          <w:rFonts w:cstheme="minorHAnsi"/>
        </w:rPr>
        <w:t>“</w:t>
      </w:r>
      <w:r w:rsidR="00855FED" w:rsidRPr="00373DC2">
        <w:rPr>
          <w:rFonts w:cstheme="minorHAnsi"/>
        </w:rPr>
        <w:t xml:space="preserve">: </w:t>
      </w:r>
      <w:r w:rsidR="00BD4A24" w:rsidRPr="00373DC2">
        <w:rPr>
          <w:rFonts w:cstheme="minorHAnsi"/>
        </w:rPr>
        <w:t>Kohlenstoffdioxid</w:t>
      </w:r>
      <w:r w:rsidR="00855FED" w:rsidRPr="00373DC2">
        <w:rPr>
          <w:rFonts w:cstheme="minorHAnsi"/>
        </w:rPr>
        <w:t xml:space="preserve"> (CO</w:t>
      </w:r>
      <w:r w:rsidR="00855FED" w:rsidRPr="00373DC2">
        <w:rPr>
          <w:rFonts w:cstheme="minorHAnsi"/>
          <w:vertAlign w:val="subscript"/>
        </w:rPr>
        <w:t>2</w:t>
      </w:r>
      <w:r w:rsidR="00855FED" w:rsidRPr="00373DC2">
        <w:rPr>
          <w:rFonts w:cstheme="minorHAnsi"/>
        </w:rPr>
        <w:t>), Methan (CH</w:t>
      </w:r>
      <w:r w:rsidR="00855FED" w:rsidRPr="00373DC2">
        <w:rPr>
          <w:rFonts w:cstheme="minorHAnsi"/>
          <w:vertAlign w:val="subscript"/>
        </w:rPr>
        <w:t>4</w:t>
      </w:r>
      <w:r w:rsidR="00855FED" w:rsidRPr="00373DC2">
        <w:rPr>
          <w:rFonts w:cstheme="minorHAnsi"/>
        </w:rPr>
        <w:t>), Distickstoffoxid (N</w:t>
      </w:r>
      <w:r w:rsidR="00855FED" w:rsidRPr="00373DC2">
        <w:rPr>
          <w:rFonts w:cstheme="minorHAnsi"/>
          <w:vertAlign w:val="subscript"/>
        </w:rPr>
        <w:t>2</w:t>
      </w:r>
      <w:r w:rsidR="00855FED" w:rsidRPr="00373DC2">
        <w:rPr>
          <w:rFonts w:cstheme="minorHAnsi"/>
        </w:rPr>
        <w:t>O), Schwefelhexafluorid (SF</w:t>
      </w:r>
      <w:r w:rsidR="00855FED" w:rsidRPr="00373DC2">
        <w:rPr>
          <w:rFonts w:cstheme="minorHAnsi"/>
          <w:vertAlign w:val="subscript"/>
        </w:rPr>
        <w:t>6</w:t>
      </w:r>
      <w:r w:rsidR="00855FED" w:rsidRPr="00373DC2">
        <w:rPr>
          <w:rFonts w:cstheme="minorHAnsi"/>
        </w:rPr>
        <w:t>), Stickstofftrifluorid (NF</w:t>
      </w:r>
      <w:r w:rsidR="00855FED" w:rsidRPr="00373DC2">
        <w:rPr>
          <w:rFonts w:cstheme="minorHAnsi"/>
          <w:vertAlign w:val="subscript"/>
        </w:rPr>
        <w:t>3</w:t>
      </w:r>
      <w:r w:rsidR="00855FED" w:rsidRPr="00373DC2">
        <w:rPr>
          <w:rFonts w:cstheme="minorHAnsi"/>
        </w:rPr>
        <w:t>) sowie teilfluorierte Kohlenwasserstoffe (HFKW) und perfluorierte Kohlenwasserstoffe (PFKW) gemäß Anhang V Teil 2 der Europäischen Governance-Verordnung</w:t>
      </w:r>
      <w:r w:rsidR="000A0498" w:rsidRPr="00373DC2">
        <w:rPr>
          <w:rStyle w:val="Funotenzeichen"/>
          <w:rFonts w:cstheme="minorHAnsi"/>
        </w:rPr>
        <w:footnoteReference w:id="12"/>
      </w:r>
      <w:r w:rsidR="000D1DAC" w:rsidRPr="00373DC2">
        <w:rPr>
          <w:rFonts w:cstheme="minorHAnsi"/>
        </w:rPr>
        <w:t>.</w:t>
      </w:r>
    </w:p>
    <w:p w14:paraId="4E2C48CC" w14:textId="67004F8F" w:rsidR="00277AF4" w:rsidRPr="00373DC2" w:rsidRDefault="00F03541" w:rsidP="00504AB3">
      <w:pPr>
        <w:pStyle w:val="Textkrper"/>
        <w:spacing w:line="240" w:lineRule="auto"/>
        <w:rPr>
          <w:rFonts w:cstheme="minorHAnsi"/>
        </w:rPr>
      </w:pPr>
      <w:r w:rsidRPr="00373DC2">
        <w:rPr>
          <w:rFonts w:cstheme="minorHAnsi"/>
        </w:rPr>
        <w:t xml:space="preserve">„Unternehmen“: </w:t>
      </w:r>
      <w:r w:rsidR="00506FDF" w:rsidRPr="00373DC2">
        <w:rPr>
          <w:rFonts w:cstheme="minorHAnsi"/>
        </w:rPr>
        <w:t xml:space="preserve">Jede </w:t>
      </w:r>
      <w:r w:rsidRPr="00373DC2">
        <w:rPr>
          <w:rFonts w:cstheme="minorHAnsi"/>
        </w:rPr>
        <w:t>eine wirtschaftliche Tätigkeit ausübende, eigenständige Einheit, unabhängig von ihrer Rechtsform, der Art ihrer Finanzierung und einer Gewinnerzielungsabsicht.</w:t>
      </w:r>
    </w:p>
    <w:bookmarkEnd w:id="16"/>
    <w:p w14:paraId="5B6CCE65" w14:textId="77777777" w:rsidR="002A3152" w:rsidRPr="00373DC2" w:rsidRDefault="002A3152" w:rsidP="00504AB3">
      <w:pPr>
        <w:pStyle w:val="Textkrper"/>
        <w:spacing w:line="240" w:lineRule="auto"/>
        <w:rPr>
          <w:rFonts w:cstheme="minorHAnsi"/>
        </w:rPr>
      </w:pPr>
    </w:p>
    <w:p w14:paraId="0B0805BD" w14:textId="22EE846D" w:rsidR="0069760B" w:rsidRPr="00373DC2" w:rsidRDefault="0073611E" w:rsidP="00504AB3">
      <w:pPr>
        <w:spacing w:line="240" w:lineRule="auto"/>
        <w:rPr>
          <w:rFonts w:cstheme="minorHAnsi"/>
          <w:b/>
        </w:rPr>
      </w:pPr>
      <w:r w:rsidRPr="00373DC2">
        <w:rPr>
          <w:rFonts w:cstheme="minorHAnsi"/>
          <w:b/>
        </w:rPr>
        <w:t>4</w:t>
      </w:r>
      <w:r w:rsidR="00334DB9" w:rsidRPr="00373DC2">
        <w:rPr>
          <w:rFonts w:cstheme="minorHAnsi"/>
          <w:b/>
        </w:rPr>
        <w:t xml:space="preserve"> </w:t>
      </w:r>
      <w:bookmarkStart w:id="17" w:name="_Hlk146034623"/>
      <w:r w:rsidR="00DD5DD9" w:rsidRPr="00373DC2">
        <w:rPr>
          <w:rFonts w:cstheme="minorHAnsi"/>
          <w:b/>
        </w:rPr>
        <w:t>Allgemeine Förderbestimmungen</w:t>
      </w:r>
      <w:bookmarkEnd w:id="17"/>
    </w:p>
    <w:p w14:paraId="053AD0EB" w14:textId="37B0E6D8" w:rsidR="007E22CC" w:rsidRPr="00373DC2" w:rsidRDefault="0069760B" w:rsidP="00FF125D">
      <w:pPr>
        <w:pStyle w:val="Listenabsatz"/>
        <w:numPr>
          <w:ilvl w:val="0"/>
          <w:numId w:val="5"/>
        </w:numPr>
        <w:spacing w:line="240" w:lineRule="auto"/>
        <w:ind w:left="426"/>
        <w:contextualSpacing w:val="0"/>
        <w:rPr>
          <w:rFonts w:cstheme="minorHAnsi"/>
        </w:rPr>
      </w:pPr>
      <w:bookmarkStart w:id="18" w:name="_Hlk146035398"/>
      <w:r w:rsidRPr="00373DC2">
        <w:rPr>
          <w:rFonts w:cstheme="minorHAnsi"/>
        </w:rPr>
        <w:t xml:space="preserve">Gefördert werden </w:t>
      </w:r>
      <w:r w:rsidR="00F03541" w:rsidRPr="00373DC2">
        <w:rPr>
          <w:rFonts w:cstheme="minorHAnsi"/>
        </w:rPr>
        <w:t>Vorhaben</w:t>
      </w:r>
      <w:r w:rsidR="007E22CC" w:rsidRPr="00373DC2">
        <w:rPr>
          <w:rFonts w:cstheme="minorHAnsi"/>
        </w:rPr>
        <w:t xml:space="preserve"> zur</w:t>
      </w:r>
    </w:p>
    <w:p w14:paraId="2A07B7E7" w14:textId="6E043DDD" w:rsidR="007E22CC" w:rsidRPr="00373DC2" w:rsidRDefault="007E22CC" w:rsidP="00FF125D">
      <w:pPr>
        <w:pStyle w:val="Listenabsatz"/>
        <w:numPr>
          <w:ilvl w:val="0"/>
          <w:numId w:val="38"/>
        </w:numPr>
        <w:spacing w:line="240" w:lineRule="auto"/>
        <w:contextualSpacing w:val="0"/>
        <w:rPr>
          <w:rFonts w:cstheme="minorHAnsi"/>
        </w:rPr>
      </w:pPr>
      <w:r w:rsidRPr="00373DC2">
        <w:rPr>
          <w:rFonts w:cstheme="minorHAnsi"/>
        </w:rPr>
        <w:t>Dekarbonisierung der Industrie inkl. Forschung und Entwicklung (Modul 1)</w:t>
      </w:r>
      <w:r w:rsidR="001C12ED" w:rsidRPr="00373DC2">
        <w:rPr>
          <w:rFonts w:cstheme="minorHAnsi"/>
        </w:rPr>
        <w:t xml:space="preserve"> und</w:t>
      </w:r>
    </w:p>
    <w:p w14:paraId="30CE8663" w14:textId="7640DF50" w:rsidR="007E22CC" w:rsidRPr="00373DC2" w:rsidRDefault="007E22CC" w:rsidP="00FF125D">
      <w:pPr>
        <w:pStyle w:val="Listenabsatz"/>
        <w:numPr>
          <w:ilvl w:val="0"/>
          <w:numId w:val="38"/>
        </w:numPr>
        <w:spacing w:line="240" w:lineRule="auto"/>
        <w:contextualSpacing w:val="0"/>
        <w:rPr>
          <w:rFonts w:cstheme="minorHAnsi"/>
        </w:rPr>
      </w:pPr>
      <w:r w:rsidRPr="00373DC2">
        <w:rPr>
          <w:rFonts w:cstheme="minorHAnsi"/>
        </w:rPr>
        <w:lastRenderedPageBreak/>
        <w:t>Anwendung und Umsetzung von CCU und CCS</w:t>
      </w:r>
      <w:r w:rsidR="007F0605">
        <w:rPr>
          <w:rFonts w:cstheme="minorHAnsi"/>
        </w:rPr>
        <w:t>,</w:t>
      </w:r>
      <w:r w:rsidRPr="00373DC2">
        <w:rPr>
          <w:rFonts w:cstheme="minorHAnsi"/>
        </w:rPr>
        <w:t xml:space="preserve"> </w:t>
      </w:r>
      <w:r w:rsidR="00C749C5" w:rsidRPr="00373DC2">
        <w:rPr>
          <w:rFonts w:cstheme="minorHAnsi"/>
        </w:rPr>
        <w:t xml:space="preserve">inkl. </w:t>
      </w:r>
      <w:r w:rsidR="008927A0" w:rsidRPr="00373DC2">
        <w:rPr>
          <w:rFonts w:cstheme="minorHAnsi"/>
        </w:rPr>
        <w:t xml:space="preserve">anwendungsorientierter </w:t>
      </w:r>
      <w:r w:rsidR="00C749C5" w:rsidRPr="00373DC2">
        <w:rPr>
          <w:rFonts w:cstheme="minorHAnsi"/>
        </w:rPr>
        <w:t>Forschung und Entwicklung</w:t>
      </w:r>
      <w:r w:rsidRPr="00373DC2">
        <w:rPr>
          <w:rFonts w:cstheme="minorHAnsi"/>
        </w:rPr>
        <w:t xml:space="preserve"> (Modul 2)</w:t>
      </w:r>
      <w:r w:rsidR="00575836" w:rsidRPr="00373DC2">
        <w:rPr>
          <w:rFonts w:cstheme="minorHAnsi"/>
        </w:rPr>
        <w:t>.</w:t>
      </w:r>
    </w:p>
    <w:p w14:paraId="06BDE6E6" w14:textId="04B76086" w:rsidR="00DD5DD9" w:rsidRPr="00373DC2" w:rsidRDefault="00DD5DD9" w:rsidP="00FF125D">
      <w:pPr>
        <w:pStyle w:val="Listenabsatz"/>
        <w:numPr>
          <w:ilvl w:val="0"/>
          <w:numId w:val="5"/>
        </w:numPr>
        <w:spacing w:line="240" w:lineRule="auto"/>
        <w:ind w:left="426"/>
        <w:contextualSpacing w:val="0"/>
        <w:rPr>
          <w:rFonts w:cstheme="minorHAnsi"/>
        </w:rPr>
      </w:pPr>
      <w:r w:rsidRPr="00373DC2">
        <w:rPr>
          <w:rFonts w:cstheme="minorHAnsi"/>
        </w:rPr>
        <w:t xml:space="preserve">Bewilligungsbehörde ist das BMWK. </w:t>
      </w:r>
      <w:r w:rsidR="00812552">
        <w:rPr>
          <w:rFonts w:cstheme="minorHAnsi"/>
        </w:rPr>
        <w:t>D</w:t>
      </w:r>
      <w:r w:rsidR="00812552" w:rsidRPr="00373DC2">
        <w:rPr>
          <w:rFonts w:cstheme="minorHAnsi"/>
        </w:rPr>
        <w:t xml:space="preserve">ie Bewilligungsbehörde </w:t>
      </w:r>
      <w:r w:rsidRPr="00373DC2">
        <w:rPr>
          <w:rFonts w:cstheme="minorHAnsi"/>
        </w:rPr>
        <w:t xml:space="preserve">entscheidet aufgrund ihres pflichtgemäßen Ermessens im Rahmen der verfügbaren Haushaltsmittel. </w:t>
      </w:r>
      <w:r w:rsidR="00812552">
        <w:rPr>
          <w:rFonts w:cstheme="minorHAnsi"/>
        </w:rPr>
        <w:t>E</w:t>
      </w:r>
      <w:r w:rsidRPr="00373DC2">
        <w:rPr>
          <w:rFonts w:cstheme="minorHAnsi"/>
        </w:rPr>
        <w:t xml:space="preserve">ine Förderung </w:t>
      </w:r>
      <w:r w:rsidR="00812552">
        <w:rPr>
          <w:rFonts w:cstheme="minorHAnsi"/>
        </w:rPr>
        <w:t xml:space="preserve">kann </w:t>
      </w:r>
      <w:r w:rsidRPr="00373DC2">
        <w:rPr>
          <w:rFonts w:cstheme="minorHAnsi"/>
        </w:rPr>
        <w:t>nur gewährt werden, wenn das Projekt ohne diese Förderung nicht oder nicht innerhalb des gewünschten Zeitraums durchgeführt werden kann</w:t>
      </w:r>
      <w:r w:rsidR="008D011E" w:rsidRPr="00373DC2">
        <w:rPr>
          <w:rFonts w:cstheme="minorHAnsi"/>
        </w:rPr>
        <w:t>.</w:t>
      </w:r>
      <w:r w:rsidRPr="00373DC2">
        <w:rPr>
          <w:rFonts w:cstheme="minorHAnsi"/>
        </w:rPr>
        <w:t xml:space="preserve"> </w:t>
      </w:r>
    </w:p>
    <w:p w14:paraId="1475AE2A" w14:textId="09FEAF47" w:rsidR="00DD5DD9" w:rsidRPr="00373DC2" w:rsidRDefault="00812552" w:rsidP="00FF125D">
      <w:pPr>
        <w:pStyle w:val="Listenabsatz"/>
        <w:numPr>
          <w:ilvl w:val="0"/>
          <w:numId w:val="5"/>
        </w:numPr>
        <w:spacing w:line="240" w:lineRule="auto"/>
        <w:ind w:left="426"/>
        <w:contextualSpacing w:val="0"/>
        <w:rPr>
          <w:rFonts w:cstheme="minorHAnsi"/>
        </w:rPr>
      </w:pPr>
      <w:r w:rsidRPr="002A5C99">
        <w:rPr>
          <w:rFonts w:cstheme="minorHAnsi"/>
          <w:lang w:val="x-none"/>
        </w:rPr>
        <w:t>De</w:t>
      </w:r>
      <w:r>
        <w:rPr>
          <w:rFonts w:cstheme="minorHAnsi"/>
        </w:rPr>
        <w:t>r schriftliche Förderantrag</w:t>
      </w:r>
      <w:r w:rsidRPr="002A5C99">
        <w:rPr>
          <w:rFonts w:cstheme="minorHAnsi"/>
          <w:lang w:val="x-none"/>
        </w:rPr>
        <w:t xml:space="preserve"> muss vor Beginn der Arbeiten für das Vorhaben oder die Tätigkeit </w:t>
      </w:r>
      <w:r>
        <w:rPr>
          <w:rFonts w:cstheme="minorHAnsi"/>
        </w:rPr>
        <w:t>gestellt werden</w:t>
      </w:r>
      <w:r w:rsidRPr="002A5C99">
        <w:rPr>
          <w:rFonts w:cstheme="minorHAnsi"/>
          <w:lang w:val="x-none"/>
        </w:rPr>
        <w:t>. Der Antrag muss mindestens die folgenden Angaben enthalten: Name und Größe des Unternehmens, Beschreibung des Vorhabens mit Angabe des Beginns und des Abschlusses, Standort des Vorhabens, die Kosten des Vorhabens und Höhe de</w:t>
      </w:r>
      <w:r>
        <w:rPr>
          <w:rFonts w:cstheme="minorHAnsi"/>
        </w:rPr>
        <w:t>s</w:t>
      </w:r>
      <w:r w:rsidRPr="002A5C99">
        <w:rPr>
          <w:rFonts w:cstheme="minorHAnsi"/>
          <w:lang w:val="x-none"/>
        </w:rPr>
        <w:t xml:space="preserve"> für das Vorhaben benötigten</w:t>
      </w:r>
      <w:r>
        <w:rPr>
          <w:rFonts w:cstheme="minorHAnsi"/>
        </w:rPr>
        <w:t xml:space="preserve"> Zuschusses</w:t>
      </w:r>
      <w:r w:rsidRPr="002A5C99">
        <w:rPr>
          <w:rFonts w:cstheme="minorHAnsi"/>
          <w:lang w:val="x-none"/>
        </w:rPr>
        <w:t>.</w:t>
      </w:r>
      <w:r>
        <w:rPr>
          <w:rFonts w:cstheme="minorHAnsi"/>
          <w:i/>
        </w:rPr>
        <w:t xml:space="preserve"> </w:t>
      </w:r>
      <w:r w:rsidR="00A833A7" w:rsidRPr="00373DC2">
        <w:rPr>
          <w:rFonts w:cstheme="minorHAnsi"/>
        </w:rPr>
        <w:t xml:space="preserve">Gemäß Nummer 1.3 VV zu § 44 BHO darf mit dem Vorhaben vor der Förderzusage des BMWK bzw. vor Erteilung des Zuwendungsbescheids nicht begonnen werden. </w:t>
      </w:r>
      <w:r w:rsidR="00DD5DD9" w:rsidRPr="00373DC2">
        <w:rPr>
          <w:rFonts w:cstheme="minorHAnsi"/>
        </w:rPr>
        <w:t xml:space="preserve">Als Vorhabenbeginn ist grundsätzlich der Abschluss eines dem Projekt zuzurechnenden Lieferungs- oder Leistungsvertrages zu werten. Planung, Genehmigungsverfahren, Baugrunduntersuchung, Grunderwerb und Herrichten des Grundstückes gelten nicht als Beginn des Vorhabens. </w:t>
      </w:r>
      <w:r w:rsidR="00810476" w:rsidRPr="00373DC2">
        <w:rPr>
          <w:rFonts w:cstheme="minorHAnsi"/>
        </w:rPr>
        <w:t>A</w:t>
      </w:r>
      <w:r w:rsidR="00DD5DD9" w:rsidRPr="00373DC2">
        <w:rPr>
          <w:rFonts w:cstheme="minorHAnsi"/>
        </w:rPr>
        <w:t xml:space="preserve">uf gesonderten Antrag </w:t>
      </w:r>
      <w:r w:rsidR="00810476" w:rsidRPr="00373DC2">
        <w:rPr>
          <w:rFonts w:cstheme="minorHAnsi"/>
        </w:rPr>
        <w:t xml:space="preserve">kann </w:t>
      </w:r>
      <w:r w:rsidR="00DD5DD9" w:rsidRPr="00373DC2">
        <w:rPr>
          <w:rFonts w:cstheme="minorHAnsi"/>
        </w:rPr>
        <w:t xml:space="preserve">ein förderunschädlicher vorzeitiger Vorhabenbeginn </w:t>
      </w:r>
      <w:r w:rsidR="00D147CD" w:rsidRPr="00373DC2">
        <w:rPr>
          <w:rFonts w:cstheme="minorHAnsi"/>
        </w:rPr>
        <w:t xml:space="preserve">auf eigenes Risiko </w:t>
      </w:r>
      <w:r w:rsidR="00DD5DD9" w:rsidRPr="00373DC2">
        <w:rPr>
          <w:rFonts w:cstheme="minorHAnsi"/>
        </w:rPr>
        <w:t>durch das BMWK genehmigt werden.</w:t>
      </w:r>
    </w:p>
    <w:p w14:paraId="3DA840B7" w14:textId="75A3DDE4" w:rsidR="00DD5DD9" w:rsidRPr="00373DC2" w:rsidRDefault="00DD5DD9" w:rsidP="00FF125D">
      <w:pPr>
        <w:pStyle w:val="Listenabsatz"/>
        <w:numPr>
          <w:ilvl w:val="0"/>
          <w:numId w:val="5"/>
        </w:numPr>
        <w:spacing w:line="240" w:lineRule="auto"/>
        <w:ind w:left="426"/>
        <w:contextualSpacing w:val="0"/>
        <w:rPr>
          <w:rFonts w:cstheme="minorHAnsi"/>
        </w:rPr>
      </w:pPr>
      <w:r w:rsidRPr="00373DC2">
        <w:rPr>
          <w:rFonts w:cstheme="minorHAnsi"/>
        </w:rPr>
        <w:t>Das BMWK beauftragt eine oder mehrere Stellen, welche die Antragsprüfung und Administration eines oder mehrerer Fördermodule übernehmen</w:t>
      </w:r>
      <w:r w:rsidR="00C94D0D" w:rsidRPr="00373DC2">
        <w:rPr>
          <w:rFonts w:cstheme="minorHAnsi"/>
        </w:rPr>
        <w:t xml:space="preserve"> (Projektträger)</w:t>
      </w:r>
      <w:r w:rsidRPr="00373DC2">
        <w:rPr>
          <w:rFonts w:cstheme="minorHAnsi"/>
        </w:rPr>
        <w:t>.</w:t>
      </w:r>
    </w:p>
    <w:p w14:paraId="7B00C9A9" w14:textId="4D6D5F7A" w:rsidR="007E22CC" w:rsidRPr="00373DC2" w:rsidRDefault="007E22CC" w:rsidP="00FF125D">
      <w:pPr>
        <w:pStyle w:val="Listenabsatz"/>
        <w:numPr>
          <w:ilvl w:val="0"/>
          <w:numId w:val="5"/>
        </w:numPr>
        <w:spacing w:line="240" w:lineRule="auto"/>
        <w:ind w:left="426"/>
        <w:contextualSpacing w:val="0"/>
        <w:rPr>
          <w:rFonts w:cstheme="minorHAnsi"/>
        </w:rPr>
      </w:pPr>
      <w:r w:rsidRPr="00373DC2">
        <w:rPr>
          <w:rFonts w:cstheme="minorHAnsi"/>
        </w:rPr>
        <w:t>Die Förderung wird als nicht rückzahlbarer Zuschuss im Rahmen einer Anteilfinanzierung gewährt (Zuwendung). Die Zuwendung wird auf einen Höchstbetrag begrenzt.</w:t>
      </w:r>
      <w:r w:rsidR="00727A86" w:rsidRPr="00373DC2">
        <w:rPr>
          <w:rFonts w:cstheme="minorHAnsi"/>
        </w:rPr>
        <w:t xml:space="preserve"> Es gelten die modul-spezifischen </w:t>
      </w:r>
      <w:r w:rsidR="004D0ABE" w:rsidRPr="00373DC2">
        <w:rPr>
          <w:rFonts w:cstheme="minorHAnsi"/>
        </w:rPr>
        <w:t>R</w:t>
      </w:r>
      <w:r w:rsidR="00727A86" w:rsidRPr="00373DC2">
        <w:rPr>
          <w:rFonts w:cstheme="minorHAnsi"/>
        </w:rPr>
        <w:t>egelungen zur Höhe der Fö</w:t>
      </w:r>
      <w:r w:rsidR="00A833A7" w:rsidRPr="00373DC2">
        <w:rPr>
          <w:rFonts w:cstheme="minorHAnsi"/>
        </w:rPr>
        <w:t>r</w:t>
      </w:r>
      <w:r w:rsidR="00727A86" w:rsidRPr="00373DC2">
        <w:rPr>
          <w:rFonts w:cstheme="minorHAnsi"/>
        </w:rPr>
        <w:t>derung.</w:t>
      </w:r>
    </w:p>
    <w:p w14:paraId="68455EBD" w14:textId="14105A0E" w:rsidR="007E22CC" w:rsidRPr="00373DC2" w:rsidRDefault="007E22CC" w:rsidP="00FF125D">
      <w:pPr>
        <w:pStyle w:val="Textkrper"/>
        <w:numPr>
          <w:ilvl w:val="0"/>
          <w:numId w:val="5"/>
        </w:numPr>
        <w:spacing w:after="160" w:line="240" w:lineRule="auto"/>
        <w:ind w:left="426"/>
        <w:rPr>
          <w:rFonts w:cstheme="minorHAnsi"/>
        </w:rPr>
      </w:pPr>
      <w:r w:rsidRPr="00373DC2">
        <w:rPr>
          <w:rFonts w:cstheme="minorHAnsi"/>
        </w:rPr>
        <w:t xml:space="preserve">Die Förderung </w:t>
      </w:r>
      <w:r w:rsidR="00014F44">
        <w:rPr>
          <w:rFonts w:cstheme="minorHAnsi"/>
        </w:rPr>
        <w:t>erfolgt</w:t>
      </w:r>
      <w:r w:rsidR="00014F44" w:rsidRPr="00373DC2">
        <w:rPr>
          <w:rFonts w:cstheme="minorHAnsi"/>
        </w:rPr>
        <w:t xml:space="preserve"> </w:t>
      </w:r>
      <w:r w:rsidRPr="00373DC2">
        <w:rPr>
          <w:rFonts w:cstheme="minorHAnsi"/>
        </w:rPr>
        <w:t xml:space="preserve">auf Kostenbasis. Es wird eine angemessene Eigenbeteiligung vorausgesetzt. Bemessungsgrundlage für die Zuwendungen sind die projektbezogenen förderfähigen Kosten. </w:t>
      </w:r>
    </w:p>
    <w:p w14:paraId="59C475BD" w14:textId="6BAAB164" w:rsidR="00727A86" w:rsidRPr="00373DC2" w:rsidRDefault="00727A86" w:rsidP="00FF125D">
      <w:pPr>
        <w:pStyle w:val="Textkrper"/>
        <w:numPr>
          <w:ilvl w:val="0"/>
          <w:numId w:val="5"/>
        </w:numPr>
        <w:spacing w:after="160" w:line="240" w:lineRule="auto"/>
        <w:ind w:left="426"/>
        <w:rPr>
          <w:rFonts w:cstheme="minorHAnsi"/>
        </w:rPr>
      </w:pPr>
      <w:bookmarkStart w:id="19" w:name="_Hlk146035463"/>
      <w:bookmarkEnd w:id="18"/>
      <w:r w:rsidRPr="00373DC2">
        <w:rPr>
          <w:rFonts w:cstheme="minorHAnsi"/>
        </w:rPr>
        <w:t xml:space="preserve">Die Einzelheiten der </w:t>
      </w:r>
      <w:r w:rsidR="006043C4" w:rsidRPr="00373DC2">
        <w:rPr>
          <w:rFonts w:cstheme="minorHAnsi"/>
        </w:rPr>
        <w:t xml:space="preserve">Förderbedingungen, </w:t>
      </w:r>
      <w:r w:rsidRPr="00373DC2">
        <w:rPr>
          <w:rFonts w:cstheme="minorHAnsi"/>
        </w:rPr>
        <w:t xml:space="preserve">Antragsnachweise, Fristen und Verfahren ergeben sich aus den Regelungen der </w:t>
      </w:r>
      <w:r w:rsidR="00F66BD4" w:rsidRPr="00373DC2">
        <w:rPr>
          <w:rFonts w:cstheme="minorHAnsi"/>
        </w:rPr>
        <w:t xml:space="preserve">betreffenden </w:t>
      </w:r>
      <w:r w:rsidRPr="00373DC2">
        <w:rPr>
          <w:rFonts w:cstheme="minorHAnsi"/>
        </w:rPr>
        <w:t>Module.</w:t>
      </w:r>
    </w:p>
    <w:p w14:paraId="2386A618" w14:textId="303AE92B" w:rsidR="008D011E" w:rsidRPr="00373DC2" w:rsidRDefault="008D011E" w:rsidP="00FF125D">
      <w:pPr>
        <w:pStyle w:val="Listenabsatz"/>
        <w:numPr>
          <w:ilvl w:val="0"/>
          <w:numId w:val="5"/>
        </w:numPr>
        <w:spacing w:line="240" w:lineRule="auto"/>
        <w:ind w:left="426" w:hanging="357"/>
        <w:contextualSpacing w:val="0"/>
        <w:rPr>
          <w:rFonts w:cstheme="minorHAnsi"/>
        </w:rPr>
      </w:pPr>
      <w:r w:rsidRPr="00373DC2">
        <w:rPr>
          <w:rFonts w:cstheme="minorHAnsi"/>
        </w:rPr>
        <w:t>Nicht antragsberechtigt sind</w:t>
      </w:r>
      <w:r w:rsidR="00936FAB" w:rsidRPr="00373DC2">
        <w:rPr>
          <w:rFonts w:cstheme="minorHAnsi"/>
        </w:rPr>
        <w:t>:</w:t>
      </w:r>
    </w:p>
    <w:p w14:paraId="1B6C889E" w14:textId="77777777" w:rsidR="008D011E" w:rsidRPr="00373DC2" w:rsidRDefault="008D011E" w:rsidP="000007E0">
      <w:pPr>
        <w:pStyle w:val="Listenabsatz"/>
        <w:numPr>
          <w:ilvl w:val="0"/>
          <w:numId w:val="52"/>
        </w:numPr>
        <w:spacing w:line="240" w:lineRule="auto"/>
        <w:contextualSpacing w:val="0"/>
        <w:rPr>
          <w:rFonts w:cstheme="minorHAnsi"/>
        </w:rPr>
      </w:pPr>
      <w:r w:rsidRPr="00373DC2">
        <w:rPr>
          <w:rFonts w:cstheme="minorHAnsi"/>
        </w:rPr>
        <w:t xml:space="preserve">Unternehmen, die einer Rückforderungsanordnung aufgrund eines Beschlusses der </w:t>
      </w:r>
      <w:r w:rsidR="0034465B" w:rsidRPr="00373DC2">
        <w:rPr>
          <w:rFonts w:cstheme="minorHAnsi"/>
          <w:color w:val="000000" w:themeColor="text1"/>
        </w:rPr>
        <w:t>Europäischen Kommission</w:t>
      </w:r>
      <w:r w:rsidRPr="00373DC2">
        <w:rPr>
          <w:rFonts w:cstheme="minorHAnsi"/>
        </w:rPr>
        <w:t xml:space="preserve"> zur Feststellung der Unzulässigkeit einer von demselben Mitgliedstaat gewährten Beihilfe und ihrer Unvereinbarkeit mit dem Binnenmarkt nicht nachgekommen sind,</w:t>
      </w:r>
    </w:p>
    <w:p w14:paraId="175D7527" w14:textId="77777777" w:rsidR="008D011E" w:rsidRPr="00373DC2" w:rsidRDefault="008D011E" w:rsidP="000007E0">
      <w:pPr>
        <w:pStyle w:val="Listenabsatz"/>
        <w:numPr>
          <w:ilvl w:val="0"/>
          <w:numId w:val="52"/>
        </w:numPr>
        <w:spacing w:line="240" w:lineRule="auto"/>
        <w:contextualSpacing w:val="0"/>
        <w:rPr>
          <w:rFonts w:cstheme="minorHAnsi"/>
        </w:rPr>
      </w:pPr>
      <w:r w:rsidRPr="00373DC2">
        <w:rPr>
          <w:rFonts w:cstheme="minorHAnsi"/>
        </w:rPr>
        <w:t xml:space="preserve">Unternehmen, die einer Rückforderungsanordnung aufgrund eines in einem Förderbescheid des BMWK festgelegten </w:t>
      </w:r>
      <w:r w:rsidR="00D53E5F" w:rsidRPr="00373DC2">
        <w:rPr>
          <w:rFonts w:cstheme="minorHAnsi"/>
        </w:rPr>
        <w:t>Auflage (</w:t>
      </w:r>
      <w:r w:rsidR="00F66BD4" w:rsidRPr="00373DC2">
        <w:rPr>
          <w:rFonts w:cstheme="minorHAnsi"/>
        </w:rPr>
        <w:t xml:space="preserve">z. B. </w:t>
      </w:r>
      <w:r w:rsidRPr="00373DC2">
        <w:rPr>
          <w:rFonts w:cstheme="minorHAnsi"/>
        </w:rPr>
        <w:t>Claw-Back-Mechanismus</w:t>
      </w:r>
      <w:r w:rsidR="00D53E5F" w:rsidRPr="00373DC2">
        <w:rPr>
          <w:rFonts w:cstheme="minorHAnsi"/>
        </w:rPr>
        <w:t>)</w:t>
      </w:r>
      <w:r w:rsidRPr="00373DC2">
        <w:rPr>
          <w:rFonts w:cstheme="minorHAnsi"/>
        </w:rPr>
        <w:t>, nicht nachgekommen sind,</w:t>
      </w:r>
      <w:r w:rsidR="008927A0" w:rsidRPr="00373DC2">
        <w:rPr>
          <w:rFonts w:cstheme="minorHAnsi"/>
        </w:rPr>
        <w:t xml:space="preserve"> </w:t>
      </w:r>
    </w:p>
    <w:p w14:paraId="65CB2660" w14:textId="5AE567E4" w:rsidR="008771E8" w:rsidRDefault="008D011E" w:rsidP="000007E0">
      <w:pPr>
        <w:pStyle w:val="Listenabsatz"/>
        <w:numPr>
          <w:ilvl w:val="0"/>
          <w:numId w:val="52"/>
        </w:numPr>
        <w:spacing w:line="240" w:lineRule="auto"/>
        <w:contextualSpacing w:val="0"/>
        <w:rPr>
          <w:rFonts w:cstheme="minorHAnsi"/>
        </w:rPr>
      </w:pPr>
      <w:r w:rsidRPr="00373DC2">
        <w:rPr>
          <w:rFonts w:cstheme="minorHAnsi"/>
        </w:rPr>
        <w:t xml:space="preserve">Unternehmen in Schwierigkeiten im Sinne von Art. 1 Abs. 4 </w:t>
      </w:r>
      <w:proofErr w:type="spellStart"/>
      <w:r w:rsidR="00812552">
        <w:rPr>
          <w:rFonts w:cstheme="minorHAnsi"/>
        </w:rPr>
        <w:t>l</w:t>
      </w:r>
      <w:r w:rsidRPr="00373DC2">
        <w:rPr>
          <w:rFonts w:cstheme="minorHAnsi"/>
        </w:rPr>
        <w:t>it</w:t>
      </w:r>
      <w:proofErr w:type="spellEnd"/>
      <w:r w:rsidRPr="00373DC2">
        <w:rPr>
          <w:rFonts w:cstheme="minorHAnsi"/>
        </w:rPr>
        <w:t>. c) AGVO</w:t>
      </w:r>
      <w:r w:rsidR="00812552" w:rsidRPr="00487E22">
        <w:rPr>
          <w:rFonts w:cstheme="minorHAnsi"/>
        </w:rPr>
        <w:t xml:space="preserve">. </w:t>
      </w:r>
      <w:r w:rsidR="00812552" w:rsidRPr="00812552">
        <w:rPr>
          <w:rFonts w:cstheme="minorHAnsi"/>
        </w:rPr>
        <w:t xml:space="preserve">Unternehmen in Schwierigkeiten sind Unternehmen, auf die mindestens einer der Umstände nach Art. 2 Nr. 18 </w:t>
      </w:r>
      <w:proofErr w:type="spellStart"/>
      <w:r w:rsidR="00812552" w:rsidRPr="00812552">
        <w:rPr>
          <w:rFonts w:cstheme="minorHAnsi"/>
        </w:rPr>
        <w:t>lit</w:t>
      </w:r>
      <w:proofErr w:type="spellEnd"/>
      <w:r w:rsidR="00812552" w:rsidRPr="00812552">
        <w:rPr>
          <w:rFonts w:cstheme="minorHAnsi"/>
        </w:rPr>
        <w:t>. a bis e AGVO zutrifft</w:t>
      </w:r>
      <w:r w:rsidR="00812552">
        <w:rPr>
          <w:rFonts w:cstheme="minorHAnsi"/>
        </w:rPr>
        <w:t xml:space="preserve">. Dies </w:t>
      </w:r>
      <w:proofErr w:type="gramStart"/>
      <w:r w:rsidR="00812552">
        <w:rPr>
          <w:rFonts w:cstheme="minorHAnsi"/>
        </w:rPr>
        <w:t>sind</w:t>
      </w:r>
      <w:r w:rsidR="00812552" w:rsidRPr="00373DC2">
        <w:rPr>
          <w:rFonts w:cstheme="minorHAnsi"/>
        </w:rPr>
        <w:t xml:space="preserve"> </w:t>
      </w:r>
      <w:r w:rsidRPr="00373DC2">
        <w:rPr>
          <w:rFonts w:cstheme="minorHAnsi"/>
        </w:rPr>
        <w:t xml:space="preserve"> insbesondere</w:t>
      </w:r>
      <w:proofErr w:type="gramEnd"/>
      <w:r w:rsidRPr="00373DC2">
        <w:rPr>
          <w:rFonts w:cstheme="minorHAnsi"/>
        </w:rPr>
        <w:t xml:space="preserve"> Antragsteller, über deren Vermögen ein Insolvenzverfahren beantragt oder eröffnet worden ist, sowie Antragsteller, die eine Vermögensauskunft gemäß § 802c der Zivilprozessordnung oder § 284 der Abgabenordnung abgegeben haben oder zu deren Abgabe verpflichtet sind</w:t>
      </w:r>
      <w:r w:rsidR="008771E8">
        <w:rPr>
          <w:rFonts w:cstheme="minorHAnsi"/>
        </w:rPr>
        <w:t>,</w:t>
      </w:r>
    </w:p>
    <w:p w14:paraId="324BBBB4" w14:textId="77777777" w:rsidR="008771E8" w:rsidRDefault="008771E8" w:rsidP="008771E8">
      <w:pPr>
        <w:pStyle w:val="Textkrper"/>
        <w:numPr>
          <w:ilvl w:val="0"/>
          <w:numId w:val="52"/>
        </w:numPr>
        <w:spacing w:line="240" w:lineRule="auto"/>
        <w:rPr>
          <w:rFonts w:cstheme="minorHAnsi"/>
        </w:rPr>
      </w:pPr>
      <w:r>
        <w:rPr>
          <w:rFonts w:cstheme="minorHAnsi"/>
        </w:rPr>
        <w:t xml:space="preserve">Von der Förderung ausgeschlossen sind </w:t>
      </w:r>
      <w:r w:rsidRPr="00B95F37">
        <w:rPr>
          <w:rFonts w:cstheme="minorHAnsi"/>
        </w:rPr>
        <w:t>Unternehmen, gegen die die EU Sanktionen verhängt hat.</w:t>
      </w:r>
      <w:r>
        <w:rPr>
          <w:rFonts w:cstheme="minorHAnsi"/>
        </w:rPr>
        <w:t xml:space="preserve"> Insbesondere sind ausgeschlossen</w:t>
      </w:r>
    </w:p>
    <w:p w14:paraId="1E6CB186" w14:textId="77777777" w:rsidR="008771E8" w:rsidRPr="002A5C99" w:rsidRDefault="008771E8" w:rsidP="008771E8">
      <w:pPr>
        <w:pStyle w:val="Listenabsatz"/>
        <w:numPr>
          <w:ilvl w:val="0"/>
          <w:numId w:val="64"/>
        </w:numPr>
        <w:autoSpaceDE w:val="0"/>
        <w:autoSpaceDN w:val="0"/>
        <w:adjustRightInd w:val="0"/>
        <w:snapToGrid w:val="0"/>
        <w:spacing w:after="0" w:line="240" w:lineRule="auto"/>
        <w:rPr>
          <w:rFonts w:eastAsia="Times New Roman" w:cstheme="minorHAnsi"/>
          <w:color w:val="000000"/>
        </w:rPr>
      </w:pPr>
      <w:r w:rsidRPr="002A5C99">
        <w:rPr>
          <w:rFonts w:eastAsia="Times New Roman" w:cstheme="minorHAnsi"/>
          <w:color w:val="000000"/>
        </w:rPr>
        <w:t>Personen, Organisationen oder Einrichtungen, die in den Rechtsakten, mit denen diese Sanktionen verhängt werden, ausdrücklich genannt sind,</w:t>
      </w:r>
    </w:p>
    <w:p w14:paraId="4AE31FF2" w14:textId="77777777" w:rsidR="008771E8" w:rsidRPr="002A5C99" w:rsidRDefault="008771E8" w:rsidP="008771E8">
      <w:pPr>
        <w:pStyle w:val="Listenabsatz"/>
        <w:numPr>
          <w:ilvl w:val="0"/>
          <w:numId w:val="64"/>
        </w:numPr>
        <w:autoSpaceDE w:val="0"/>
        <w:autoSpaceDN w:val="0"/>
        <w:adjustRightInd w:val="0"/>
        <w:snapToGrid w:val="0"/>
        <w:spacing w:after="0" w:line="240" w:lineRule="auto"/>
        <w:rPr>
          <w:rFonts w:eastAsia="Times New Roman" w:cstheme="minorHAnsi"/>
          <w:color w:val="000000"/>
        </w:rPr>
      </w:pPr>
      <w:r w:rsidRPr="002A5C99">
        <w:rPr>
          <w:rFonts w:eastAsia="Times New Roman" w:cstheme="minorHAnsi"/>
          <w:color w:val="000000"/>
        </w:rPr>
        <w:lastRenderedPageBreak/>
        <w:t>Unternehmen, die im Eigentum oder unter der Kontrolle von Personen, Organisationen oder Einrichtungen stehen, gegen die die EU Sanktionen verhängt hat, und</w:t>
      </w:r>
    </w:p>
    <w:p w14:paraId="4D83426A" w14:textId="0928580C" w:rsidR="008D011E" w:rsidRPr="008771E8" w:rsidRDefault="008771E8" w:rsidP="008771E8">
      <w:pPr>
        <w:pStyle w:val="Listenabsatz"/>
        <w:numPr>
          <w:ilvl w:val="0"/>
          <w:numId w:val="64"/>
        </w:numPr>
        <w:autoSpaceDE w:val="0"/>
        <w:autoSpaceDN w:val="0"/>
        <w:adjustRightInd w:val="0"/>
        <w:snapToGrid w:val="0"/>
        <w:spacing w:after="0" w:line="240" w:lineRule="auto"/>
        <w:rPr>
          <w:rFonts w:eastAsia="Times New Roman" w:cstheme="minorHAnsi"/>
          <w:color w:val="000000"/>
        </w:rPr>
      </w:pPr>
      <w:r w:rsidRPr="002A5C99">
        <w:rPr>
          <w:rFonts w:eastAsia="Times New Roman" w:cstheme="minorHAnsi"/>
          <w:color w:val="000000"/>
        </w:rPr>
        <w:t>Unternehmen, die in Wirtschaftszweigen tätig sind, gegen die die EU Sanktionen verhängt hat, soweit die Beihilfen die Ziele der betreffenden Sanktionen untergraben würden.</w:t>
      </w:r>
    </w:p>
    <w:p w14:paraId="77C389B4" w14:textId="5F0FF075" w:rsidR="008D011E" w:rsidRPr="00373DC2" w:rsidRDefault="008D011E" w:rsidP="00FF125D">
      <w:pPr>
        <w:pStyle w:val="Listenabsatz"/>
        <w:numPr>
          <w:ilvl w:val="0"/>
          <w:numId w:val="5"/>
        </w:numPr>
        <w:spacing w:line="240" w:lineRule="auto"/>
        <w:ind w:left="426" w:hanging="357"/>
        <w:contextualSpacing w:val="0"/>
        <w:rPr>
          <w:rFonts w:cstheme="minorHAnsi"/>
        </w:rPr>
      </w:pPr>
      <w:r w:rsidRPr="00373DC2">
        <w:rPr>
          <w:rFonts w:cstheme="minorHAnsi"/>
        </w:rPr>
        <w:t>Nicht förderfähig sind</w:t>
      </w:r>
      <w:r w:rsidR="00936FAB" w:rsidRPr="00373DC2">
        <w:rPr>
          <w:rFonts w:cstheme="minorHAnsi"/>
        </w:rPr>
        <w:t>:</w:t>
      </w:r>
    </w:p>
    <w:p w14:paraId="40ADBB18" w14:textId="77777777" w:rsidR="00E17FE1" w:rsidRPr="00373DC2" w:rsidRDefault="008D011E" w:rsidP="000007E0">
      <w:pPr>
        <w:pStyle w:val="Listenabsatz"/>
        <w:numPr>
          <w:ilvl w:val="0"/>
          <w:numId w:val="51"/>
        </w:numPr>
        <w:spacing w:line="240" w:lineRule="auto"/>
        <w:ind w:left="709" w:hanging="425"/>
        <w:contextualSpacing w:val="0"/>
        <w:rPr>
          <w:rFonts w:cstheme="minorHAnsi"/>
        </w:rPr>
      </w:pPr>
      <w:r w:rsidRPr="00373DC2">
        <w:rPr>
          <w:rFonts w:cstheme="minorHAnsi"/>
        </w:rPr>
        <w:t xml:space="preserve">Maßnahmen, </w:t>
      </w:r>
      <w:r w:rsidR="00A72DCD" w:rsidRPr="00373DC2">
        <w:rPr>
          <w:rFonts w:cstheme="minorHAnsi"/>
        </w:rPr>
        <w:t xml:space="preserve">zu </w:t>
      </w:r>
      <w:r w:rsidRPr="00373DC2">
        <w:rPr>
          <w:rFonts w:cstheme="minorHAnsi"/>
        </w:rPr>
        <w:t xml:space="preserve">deren Durchführung </w:t>
      </w:r>
      <w:r w:rsidR="00F66BD4" w:rsidRPr="00373DC2">
        <w:rPr>
          <w:rFonts w:cstheme="minorHAnsi"/>
        </w:rPr>
        <w:t xml:space="preserve">das Unternehmen durch </w:t>
      </w:r>
      <w:r w:rsidR="00A72DCD" w:rsidRPr="00373DC2">
        <w:rPr>
          <w:rFonts w:cstheme="minorHAnsi"/>
        </w:rPr>
        <w:t xml:space="preserve">ein Gesetz, eine Verordnung </w:t>
      </w:r>
      <w:r w:rsidRPr="00373DC2">
        <w:rPr>
          <w:rFonts w:cstheme="minorHAnsi"/>
        </w:rPr>
        <w:t xml:space="preserve">oder behördlichen Anordnung </w:t>
      </w:r>
      <w:r w:rsidR="00F66BD4" w:rsidRPr="00373DC2">
        <w:rPr>
          <w:rFonts w:cstheme="minorHAnsi"/>
        </w:rPr>
        <w:t>verpflichtet ist</w:t>
      </w:r>
      <w:r w:rsidR="00E17FE1" w:rsidRPr="00373DC2">
        <w:rPr>
          <w:rFonts w:cstheme="minorHAnsi"/>
        </w:rPr>
        <w:t xml:space="preserve">, </w:t>
      </w:r>
    </w:p>
    <w:p w14:paraId="706B1250" w14:textId="77777777" w:rsidR="00E17FE1" w:rsidRPr="00373DC2" w:rsidRDefault="00A72DCD" w:rsidP="000007E0">
      <w:pPr>
        <w:pStyle w:val="Listenabsatz"/>
        <w:numPr>
          <w:ilvl w:val="0"/>
          <w:numId w:val="51"/>
        </w:numPr>
        <w:spacing w:line="240" w:lineRule="auto"/>
        <w:ind w:left="709" w:hanging="425"/>
        <w:contextualSpacing w:val="0"/>
        <w:rPr>
          <w:rFonts w:cstheme="minorHAnsi"/>
        </w:rPr>
      </w:pPr>
      <w:r w:rsidRPr="00373DC2">
        <w:rPr>
          <w:rFonts w:cstheme="minorHAnsi"/>
        </w:rPr>
        <w:t>Maßnahmen, die nach EEG oder KWKG gefördert werden,</w:t>
      </w:r>
      <w:r w:rsidR="00E17FE1" w:rsidRPr="00373DC2">
        <w:rPr>
          <w:rFonts w:cstheme="minorHAnsi"/>
        </w:rPr>
        <w:t xml:space="preserve"> </w:t>
      </w:r>
    </w:p>
    <w:p w14:paraId="1599D081" w14:textId="77777777" w:rsidR="00E17FE1" w:rsidRPr="00373DC2" w:rsidRDefault="006942DD" w:rsidP="000007E0">
      <w:pPr>
        <w:pStyle w:val="Listenabsatz"/>
        <w:numPr>
          <w:ilvl w:val="0"/>
          <w:numId w:val="51"/>
        </w:numPr>
        <w:spacing w:line="240" w:lineRule="auto"/>
        <w:ind w:left="709" w:hanging="425"/>
        <w:contextualSpacing w:val="0"/>
        <w:rPr>
          <w:rFonts w:cstheme="minorHAnsi"/>
        </w:rPr>
      </w:pPr>
      <w:r w:rsidRPr="00373DC2">
        <w:rPr>
          <w:rFonts w:cstheme="minorHAnsi"/>
        </w:rPr>
        <w:t>Maßnahmen, die nach</w:t>
      </w:r>
      <w:r w:rsidR="0020069D" w:rsidRPr="00373DC2">
        <w:rPr>
          <w:rFonts w:cstheme="minorHAnsi"/>
        </w:rPr>
        <w:t xml:space="preserve"> der</w:t>
      </w:r>
      <w:r w:rsidRPr="00373DC2">
        <w:rPr>
          <w:rFonts w:cstheme="minorHAnsi"/>
        </w:rPr>
        <w:t xml:space="preserve"> Richtlinie für die Bundesförderung für Energie- und</w:t>
      </w:r>
      <w:r w:rsidR="00E17FE1" w:rsidRPr="00373DC2">
        <w:rPr>
          <w:rFonts w:cstheme="minorHAnsi"/>
        </w:rPr>
        <w:t xml:space="preserve"> </w:t>
      </w:r>
      <w:r w:rsidRPr="00373DC2">
        <w:rPr>
          <w:rFonts w:cstheme="minorHAnsi"/>
        </w:rPr>
        <w:t>Ressourceneffizienz</w:t>
      </w:r>
      <w:r w:rsidR="0020069D" w:rsidRPr="00373DC2">
        <w:rPr>
          <w:rFonts w:cstheme="minorHAnsi"/>
        </w:rPr>
        <w:t xml:space="preserve"> </w:t>
      </w:r>
      <w:r w:rsidRPr="00373DC2">
        <w:rPr>
          <w:rFonts w:cstheme="minorHAnsi"/>
        </w:rPr>
        <w:t>in der Wirtschaft</w:t>
      </w:r>
      <w:r w:rsidR="00073C7F" w:rsidRPr="00373DC2">
        <w:rPr>
          <w:rStyle w:val="Funotenzeichen"/>
          <w:rFonts w:cstheme="minorHAnsi"/>
        </w:rPr>
        <w:footnoteReference w:id="13"/>
      </w:r>
      <w:r w:rsidR="0020069D" w:rsidRPr="00373DC2">
        <w:rPr>
          <w:rFonts w:cstheme="minorHAnsi"/>
        </w:rPr>
        <w:t xml:space="preserve"> </w:t>
      </w:r>
      <w:r w:rsidR="00994FB6" w:rsidRPr="00373DC2">
        <w:rPr>
          <w:rFonts w:cstheme="minorHAnsi"/>
        </w:rPr>
        <w:t xml:space="preserve">gefördert </w:t>
      </w:r>
      <w:r w:rsidR="00101192" w:rsidRPr="00373DC2">
        <w:rPr>
          <w:rFonts w:cstheme="minorHAnsi"/>
        </w:rPr>
        <w:t>werden</w:t>
      </w:r>
      <w:r w:rsidR="0020069D" w:rsidRPr="00373DC2">
        <w:rPr>
          <w:rFonts w:cstheme="minorHAnsi"/>
        </w:rPr>
        <w:t>,</w:t>
      </w:r>
      <w:r w:rsidR="00E17FE1" w:rsidRPr="00373DC2">
        <w:rPr>
          <w:rFonts w:cstheme="minorHAnsi"/>
        </w:rPr>
        <w:t xml:space="preserve"> </w:t>
      </w:r>
    </w:p>
    <w:p w14:paraId="148FEEA8" w14:textId="77777777" w:rsidR="00E17FE1" w:rsidRPr="00373DC2" w:rsidRDefault="000149F8" w:rsidP="000007E0">
      <w:pPr>
        <w:pStyle w:val="Listenabsatz"/>
        <w:numPr>
          <w:ilvl w:val="0"/>
          <w:numId w:val="51"/>
        </w:numPr>
        <w:spacing w:line="240" w:lineRule="auto"/>
        <w:ind w:left="709" w:hanging="425"/>
        <w:contextualSpacing w:val="0"/>
        <w:rPr>
          <w:rFonts w:cstheme="minorHAnsi"/>
        </w:rPr>
      </w:pPr>
      <w:r w:rsidRPr="00373DC2">
        <w:rPr>
          <w:rFonts w:cstheme="minorHAnsi"/>
        </w:rPr>
        <w:t>Maßnahmen, die aufg</w:t>
      </w:r>
      <w:r w:rsidR="00EA617E" w:rsidRPr="00373DC2">
        <w:rPr>
          <w:rFonts w:cstheme="minorHAnsi"/>
        </w:rPr>
        <w:t>r</w:t>
      </w:r>
      <w:r w:rsidRPr="00373DC2">
        <w:rPr>
          <w:rFonts w:cstheme="minorHAnsi"/>
        </w:rPr>
        <w:t xml:space="preserve">und </w:t>
      </w:r>
      <w:r w:rsidR="00EA617E" w:rsidRPr="00373DC2">
        <w:rPr>
          <w:rFonts w:cstheme="minorHAnsi"/>
        </w:rPr>
        <w:t>der Richtlinie zur Förderung von klimaneutralen Produktionsverfahren in der Industrie durch Klimaschutzverträge</w:t>
      </w:r>
      <w:r w:rsidR="00073C7F" w:rsidRPr="00373DC2">
        <w:rPr>
          <w:rStyle w:val="Funotenzeichen"/>
          <w:rFonts w:cstheme="minorHAnsi"/>
        </w:rPr>
        <w:footnoteReference w:id="14"/>
      </w:r>
      <w:r w:rsidR="00EA617E" w:rsidRPr="00373DC2">
        <w:rPr>
          <w:rFonts w:cstheme="minorHAnsi"/>
        </w:rPr>
        <w:t xml:space="preserve"> gefördert werden</w:t>
      </w:r>
      <w:r w:rsidR="00F201FE" w:rsidRPr="00373DC2">
        <w:rPr>
          <w:rFonts w:cstheme="minorHAnsi"/>
        </w:rPr>
        <w:t>,</w:t>
      </w:r>
      <w:r w:rsidR="00E17FE1" w:rsidRPr="00373DC2">
        <w:rPr>
          <w:rFonts w:cstheme="minorHAnsi"/>
        </w:rPr>
        <w:t xml:space="preserve"> </w:t>
      </w:r>
    </w:p>
    <w:p w14:paraId="7C72F156" w14:textId="6481327E" w:rsidR="008D011E" w:rsidRPr="00373DC2" w:rsidRDefault="00F201FE" w:rsidP="000007E0">
      <w:pPr>
        <w:pStyle w:val="Listenabsatz"/>
        <w:numPr>
          <w:ilvl w:val="0"/>
          <w:numId w:val="51"/>
        </w:numPr>
        <w:spacing w:line="240" w:lineRule="auto"/>
        <w:ind w:left="709" w:hanging="425"/>
        <w:contextualSpacing w:val="0"/>
        <w:rPr>
          <w:rFonts w:cstheme="minorHAnsi"/>
        </w:rPr>
      </w:pPr>
      <w:r w:rsidRPr="00373DC2">
        <w:rPr>
          <w:rFonts w:cstheme="minorHAnsi"/>
        </w:rPr>
        <w:t>Vorhaben zur Grundlagenforschung (Technology Readiness Level &lt; 4).</w:t>
      </w:r>
    </w:p>
    <w:bookmarkEnd w:id="19"/>
    <w:p w14:paraId="0CD5894F" w14:textId="77777777" w:rsidR="00B47692" w:rsidRPr="00373DC2" w:rsidRDefault="00B47692" w:rsidP="000007E0">
      <w:pPr>
        <w:spacing w:line="240" w:lineRule="auto"/>
        <w:ind w:left="709" w:hanging="425"/>
        <w:rPr>
          <w:rFonts w:cstheme="minorHAnsi"/>
        </w:rPr>
      </w:pPr>
    </w:p>
    <w:p w14:paraId="46B126A5" w14:textId="539649A0" w:rsidR="007569C0" w:rsidRPr="00373DC2" w:rsidRDefault="00C9572E" w:rsidP="00504AB3">
      <w:pPr>
        <w:spacing w:line="240" w:lineRule="auto"/>
        <w:rPr>
          <w:rFonts w:cstheme="minorHAnsi"/>
          <w:b/>
        </w:rPr>
      </w:pPr>
      <w:r w:rsidRPr="00373DC2">
        <w:rPr>
          <w:rFonts w:cstheme="minorHAnsi"/>
          <w:b/>
        </w:rPr>
        <w:t>5</w:t>
      </w:r>
      <w:r w:rsidR="007569C0" w:rsidRPr="00373DC2">
        <w:rPr>
          <w:rFonts w:cstheme="minorHAnsi"/>
          <w:b/>
        </w:rPr>
        <w:t xml:space="preserve"> </w:t>
      </w:r>
      <w:bookmarkStart w:id="20" w:name="_Hlk146034630"/>
      <w:r w:rsidR="007569C0" w:rsidRPr="00373DC2">
        <w:rPr>
          <w:rFonts w:cstheme="minorHAnsi"/>
          <w:b/>
        </w:rPr>
        <w:t>Förderung zur Dekarbonisierung der Industrie</w:t>
      </w:r>
      <w:r w:rsidR="00AF1E92" w:rsidRPr="00373DC2">
        <w:rPr>
          <w:rFonts w:cstheme="minorHAnsi"/>
          <w:b/>
        </w:rPr>
        <w:t xml:space="preserve"> (Modul 1)</w:t>
      </w:r>
      <w:bookmarkEnd w:id="20"/>
    </w:p>
    <w:p w14:paraId="3098224C" w14:textId="77BF28DB" w:rsidR="00490A04" w:rsidRPr="00373DC2" w:rsidRDefault="00C9572E" w:rsidP="00504AB3">
      <w:pPr>
        <w:spacing w:line="240" w:lineRule="auto"/>
        <w:rPr>
          <w:rFonts w:cstheme="minorHAnsi"/>
          <w:b/>
        </w:rPr>
      </w:pPr>
      <w:r w:rsidRPr="00373DC2">
        <w:rPr>
          <w:rFonts w:cstheme="minorHAnsi"/>
          <w:b/>
        </w:rPr>
        <w:t>5</w:t>
      </w:r>
      <w:r w:rsidR="00AF1E92" w:rsidRPr="00373DC2">
        <w:rPr>
          <w:rFonts w:cstheme="minorHAnsi"/>
          <w:b/>
        </w:rPr>
        <w:t xml:space="preserve">.1 </w:t>
      </w:r>
      <w:bookmarkStart w:id="21" w:name="_Hlk146034638"/>
      <w:r w:rsidR="00AF1E92" w:rsidRPr="00373DC2">
        <w:rPr>
          <w:rFonts w:cstheme="minorHAnsi"/>
          <w:b/>
        </w:rPr>
        <w:t>Fördergegenstand</w:t>
      </w:r>
      <w:r w:rsidR="00C41A96" w:rsidRPr="00373DC2">
        <w:rPr>
          <w:rFonts w:cstheme="minorHAnsi"/>
          <w:b/>
        </w:rPr>
        <w:t xml:space="preserve"> </w:t>
      </w:r>
      <w:bookmarkEnd w:id="21"/>
    </w:p>
    <w:p w14:paraId="3DEC22E7" w14:textId="64374DAF" w:rsidR="009B6A37" w:rsidRPr="00373DC2" w:rsidRDefault="00C9572E" w:rsidP="00FF125D">
      <w:pPr>
        <w:pStyle w:val="Listenabsatz"/>
        <w:numPr>
          <w:ilvl w:val="0"/>
          <w:numId w:val="2"/>
        </w:numPr>
        <w:spacing w:line="240" w:lineRule="auto"/>
        <w:ind w:left="426" w:hanging="357"/>
        <w:contextualSpacing w:val="0"/>
        <w:rPr>
          <w:rFonts w:cstheme="minorHAnsi"/>
        </w:rPr>
      </w:pPr>
      <w:bookmarkStart w:id="22" w:name="_Hlk146035790"/>
      <w:r w:rsidRPr="00373DC2">
        <w:rPr>
          <w:rFonts w:cstheme="minorHAnsi"/>
        </w:rPr>
        <w:t>Im Modul 1</w:t>
      </w:r>
      <w:r w:rsidR="0011029A" w:rsidRPr="00373DC2">
        <w:rPr>
          <w:rFonts w:cstheme="minorHAnsi"/>
        </w:rPr>
        <w:t xml:space="preserve"> werden </w:t>
      </w:r>
      <w:r w:rsidR="00FD6D71" w:rsidRPr="00373DC2">
        <w:rPr>
          <w:rFonts w:cstheme="minorHAnsi"/>
        </w:rPr>
        <w:t xml:space="preserve">innovative </w:t>
      </w:r>
      <w:r w:rsidR="0011029A" w:rsidRPr="00373DC2">
        <w:rPr>
          <w:rFonts w:cstheme="minorHAnsi"/>
        </w:rPr>
        <w:t>Investition</w:t>
      </w:r>
      <w:r w:rsidR="00E54925" w:rsidRPr="00373DC2">
        <w:rPr>
          <w:rFonts w:cstheme="minorHAnsi"/>
        </w:rPr>
        <w:t>sv</w:t>
      </w:r>
      <w:r w:rsidR="0011029A" w:rsidRPr="00373DC2">
        <w:rPr>
          <w:rFonts w:cstheme="minorHAnsi"/>
        </w:rPr>
        <w:t>orhaben zur Anwendung und Umsetzung</w:t>
      </w:r>
      <w:r w:rsidR="00AF1E92" w:rsidRPr="00373DC2">
        <w:rPr>
          <w:rFonts w:cstheme="minorHAnsi"/>
        </w:rPr>
        <w:t xml:space="preserve"> sowie zur Erforschung und Entwicklung </w:t>
      </w:r>
      <w:r w:rsidR="0011029A" w:rsidRPr="00373DC2">
        <w:rPr>
          <w:rFonts w:cstheme="minorHAnsi"/>
        </w:rPr>
        <w:t>von Maßnahmen gefördert, die geeignet sind, die T</w:t>
      </w:r>
      <w:r w:rsidR="00AF1E92" w:rsidRPr="00373DC2">
        <w:rPr>
          <w:rFonts w:cstheme="minorHAnsi"/>
        </w:rPr>
        <w:t>HG-E</w:t>
      </w:r>
      <w:r w:rsidR="0011029A" w:rsidRPr="00373DC2">
        <w:rPr>
          <w:rFonts w:cstheme="minorHAnsi"/>
        </w:rPr>
        <w:t xml:space="preserve">missionen </w:t>
      </w:r>
      <w:r w:rsidR="00AF1E92" w:rsidRPr="00373DC2">
        <w:rPr>
          <w:rFonts w:cstheme="minorHAnsi"/>
        </w:rPr>
        <w:t xml:space="preserve">industrieller </w:t>
      </w:r>
      <w:r w:rsidR="00D82F2B" w:rsidRPr="00373DC2">
        <w:rPr>
          <w:rFonts w:cstheme="minorHAnsi"/>
        </w:rPr>
        <w:t xml:space="preserve">Prozesse </w:t>
      </w:r>
      <w:r w:rsidR="0011029A" w:rsidRPr="00373DC2">
        <w:rPr>
          <w:rFonts w:cstheme="minorHAnsi"/>
        </w:rPr>
        <w:t>möglichst weitgehend und dauerhaft zu reduzieren und dadurch einen Beitrag zur Treibhausgasneutralität in der Industrie 2045 zu leisten.</w:t>
      </w:r>
      <w:r w:rsidR="009B7E7B" w:rsidRPr="00373DC2">
        <w:rPr>
          <w:rFonts w:cstheme="minorHAnsi"/>
        </w:rPr>
        <w:t xml:space="preserve"> Dies umfasst auch </w:t>
      </w:r>
      <w:r w:rsidR="0011029A" w:rsidRPr="00373DC2">
        <w:rPr>
          <w:rFonts w:cstheme="minorHAnsi"/>
        </w:rPr>
        <w:t>Investitionen in Anlagen zur treibhausgasarmen</w:t>
      </w:r>
      <w:r w:rsidR="009B7E7B" w:rsidRPr="00373DC2">
        <w:rPr>
          <w:rFonts w:cstheme="minorHAnsi"/>
        </w:rPr>
        <w:t xml:space="preserve"> oder </w:t>
      </w:r>
      <w:r w:rsidR="0011029A" w:rsidRPr="00373DC2">
        <w:rPr>
          <w:rFonts w:cstheme="minorHAnsi"/>
        </w:rPr>
        <w:t>-neutralen Herstellung von alternativen Produkten, die solche Produkte ersetzen, die in ihrer Herstellung höhere THG-Emissionen verursachen</w:t>
      </w:r>
      <w:r w:rsidR="009B7E7B" w:rsidRPr="00373DC2">
        <w:rPr>
          <w:rFonts w:cstheme="minorHAnsi"/>
        </w:rPr>
        <w:t>.</w:t>
      </w:r>
      <w:r w:rsidR="0040077D" w:rsidRPr="00373DC2">
        <w:rPr>
          <w:rFonts w:cstheme="minorHAnsi"/>
        </w:rPr>
        <w:t xml:space="preserve"> </w:t>
      </w:r>
    </w:p>
    <w:p w14:paraId="013892DF" w14:textId="5A86609F" w:rsidR="00AF1E92" w:rsidRPr="00373DC2" w:rsidRDefault="00AF1E92" w:rsidP="00FF125D">
      <w:pPr>
        <w:pStyle w:val="Listenabsatz"/>
        <w:numPr>
          <w:ilvl w:val="0"/>
          <w:numId w:val="2"/>
        </w:numPr>
        <w:spacing w:line="240" w:lineRule="auto"/>
        <w:ind w:left="426"/>
        <w:rPr>
          <w:rFonts w:cstheme="minorHAnsi"/>
        </w:rPr>
      </w:pPr>
      <w:r w:rsidRPr="00373DC2">
        <w:rPr>
          <w:rFonts w:cstheme="minorHAnsi"/>
        </w:rPr>
        <w:t>D</w:t>
      </w:r>
      <w:r w:rsidR="00C9572E" w:rsidRPr="00373DC2">
        <w:rPr>
          <w:rFonts w:cstheme="minorHAnsi"/>
        </w:rPr>
        <w:t>as</w:t>
      </w:r>
      <w:r w:rsidRPr="00373DC2">
        <w:rPr>
          <w:rFonts w:cstheme="minorHAnsi"/>
        </w:rPr>
        <w:t xml:space="preserve"> </w:t>
      </w:r>
      <w:r w:rsidR="00C9572E" w:rsidRPr="00373DC2">
        <w:rPr>
          <w:rFonts w:cstheme="minorHAnsi"/>
        </w:rPr>
        <w:t>M</w:t>
      </w:r>
      <w:r w:rsidRPr="00373DC2">
        <w:rPr>
          <w:rFonts w:cstheme="minorHAnsi"/>
        </w:rPr>
        <w:t>odul besteht aus drei Teilmodulen</w:t>
      </w:r>
      <w:r w:rsidR="00490A04" w:rsidRPr="00373DC2">
        <w:rPr>
          <w:rFonts w:cstheme="minorHAnsi"/>
        </w:rPr>
        <w:t xml:space="preserve">, die </w:t>
      </w:r>
      <w:r w:rsidR="00C41A96" w:rsidRPr="00373DC2">
        <w:rPr>
          <w:rFonts w:cstheme="minorHAnsi"/>
        </w:rPr>
        <w:t>besondere</w:t>
      </w:r>
      <w:r w:rsidR="00490A04" w:rsidRPr="00373DC2">
        <w:rPr>
          <w:rFonts w:cstheme="minorHAnsi"/>
        </w:rPr>
        <w:t xml:space="preserve"> Fördervoraussetzungen </w:t>
      </w:r>
      <w:r w:rsidR="00C41A96" w:rsidRPr="00373DC2">
        <w:rPr>
          <w:rFonts w:cstheme="minorHAnsi"/>
        </w:rPr>
        <w:t>haben</w:t>
      </w:r>
      <w:r w:rsidRPr="00373DC2">
        <w:rPr>
          <w:rFonts w:cstheme="minorHAnsi"/>
        </w:rPr>
        <w:t>:</w:t>
      </w:r>
    </w:p>
    <w:p w14:paraId="28916E23" w14:textId="0A434EC7" w:rsidR="00AF1E92" w:rsidRPr="00373DC2" w:rsidRDefault="00AF1E92" w:rsidP="00FF125D">
      <w:pPr>
        <w:pStyle w:val="Listenabsatz"/>
        <w:numPr>
          <w:ilvl w:val="0"/>
          <w:numId w:val="41"/>
        </w:numPr>
        <w:spacing w:after="120" w:line="240" w:lineRule="auto"/>
        <w:contextualSpacing w:val="0"/>
        <w:rPr>
          <w:rFonts w:cstheme="minorHAnsi"/>
        </w:rPr>
      </w:pPr>
      <w:r w:rsidRPr="00373DC2">
        <w:rPr>
          <w:rFonts w:cstheme="minorHAnsi"/>
        </w:rPr>
        <w:t xml:space="preserve">Förderung von Investitionsvorhaben zur Dekarbonisierung industrieller Produktionsprozesse auf Basis von Art. 36 AGVO </w:t>
      </w:r>
      <w:r w:rsidR="00EB05B5" w:rsidRPr="00373DC2">
        <w:rPr>
          <w:rFonts w:cstheme="minorHAnsi"/>
        </w:rPr>
        <w:t>(Teilmodul</w:t>
      </w:r>
      <w:r w:rsidR="00490A04" w:rsidRPr="00373DC2">
        <w:rPr>
          <w:rFonts w:cstheme="minorHAnsi"/>
        </w:rPr>
        <w:t xml:space="preserve"> 1</w:t>
      </w:r>
      <w:r w:rsidR="00EB05B5" w:rsidRPr="00373DC2">
        <w:rPr>
          <w:rFonts w:cstheme="minorHAnsi"/>
        </w:rPr>
        <w:t>),</w:t>
      </w:r>
    </w:p>
    <w:p w14:paraId="29799FA3" w14:textId="25D30A13" w:rsidR="00AF1E92" w:rsidRPr="00373DC2" w:rsidRDefault="00AF1E92" w:rsidP="00FF125D">
      <w:pPr>
        <w:pStyle w:val="Listenabsatz"/>
        <w:numPr>
          <w:ilvl w:val="0"/>
          <w:numId w:val="41"/>
        </w:numPr>
        <w:spacing w:after="120" w:line="240" w:lineRule="auto"/>
        <w:contextualSpacing w:val="0"/>
        <w:rPr>
          <w:rFonts w:cstheme="minorHAnsi"/>
        </w:rPr>
      </w:pPr>
      <w:r w:rsidRPr="00373DC2">
        <w:rPr>
          <w:rFonts w:cstheme="minorHAnsi"/>
        </w:rPr>
        <w:t xml:space="preserve">Förderung von Investitionsvorhaben zur Dekarbonisierung industrieller Produktionsprozesse durch Elektrifizierung </w:t>
      </w:r>
      <w:r w:rsidR="00C41A96" w:rsidRPr="00373DC2">
        <w:rPr>
          <w:rFonts w:cstheme="minorHAnsi"/>
        </w:rPr>
        <w:t xml:space="preserve">oder durch </w:t>
      </w:r>
      <w:r w:rsidRPr="00373DC2">
        <w:rPr>
          <w:rFonts w:cstheme="minorHAnsi"/>
        </w:rPr>
        <w:t xml:space="preserve">Nutzung von Wasserstoff </w:t>
      </w:r>
      <w:r w:rsidR="00E54925" w:rsidRPr="00373DC2">
        <w:rPr>
          <w:rFonts w:cstheme="minorHAnsi"/>
        </w:rPr>
        <w:t xml:space="preserve">oder daraus gewonnener Brennstoffe </w:t>
      </w:r>
      <w:r w:rsidRPr="00373DC2">
        <w:rPr>
          <w:rFonts w:cstheme="minorHAnsi"/>
        </w:rPr>
        <w:t xml:space="preserve">auf Basis </w:t>
      </w:r>
      <w:r w:rsidR="00957D63" w:rsidRPr="00373DC2">
        <w:rPr>
          <w:rFonts w:cstheme="minorHAnsi"/>
        </w:rPr>
        <w:t>der Bundesregelung</w:t>
      </w:r>
      <w:r w:rsidR="00FD2034" w:rsidRPr="00373DC2">
        <w:rPr>
          <w:rFonts w:cstheme="minorHAnsi"/>
        </w:rPr>
        <w:t xml:space="preserve"> </w:t>
      </w:r>
      <w:r w:rsidR="00EB05B5" w:rsidRPr="00373DC2">
        <w:rPr>
          <w:rFonts w:cstheme="minorHAnsi"/>
        </w:rPr>
        <w:t>(Teilmodul</w:t>
      </w:r>
      <w:r w:rsidR="00490A04" w:rsidRPr="00373DC2">
        <w:rPr>
          <w:rFonts w:cstheme="minorHAnsi"/>
        </w:rPr>
        <w:t xml:space="preserve"> 2</w:t>
      </w:r>
      <w:r w:rsidR="00EB05B5" w:rsidRPr="00373DC2">
        <w:rPr>
          <w:rFonts w:cstheme="minorHAnsi"/>
        </w:rPr>
        <w:t>),</w:t>
      </w:r>
    </w:p>
    <w:p w14:paraId="633139BE" w14:textId="73D6642A" w:rsidR="00F14AF2" w:rsidRPr="00373DC2" w:rsidRDefault="00EB05B5" w:rsidP="00FF125D">
      <w:pPr>
        <w:pStyle w:val="Listenabsatz"/>
        <w:numPr>
          <w:ilvl w:val="0"/>
          <w:numId w:val="41"/>
        </w:numPr>
        <w:spacing w:line="240" w:lineRule="auto"/>
        <w:contextualSpacing w:val="0"/>
        <w:rPr>
          <w:rFonts w:cstheme="minorHAnsi"/>
        </w:rPr>
      </w:pPr>
      <w:bookmarkStart w:id="23" w:name="_Hlk146036113"/>
      <w:bookmarkEnd w:id="22"/>
      <w:r w:rsidRPr="00373DC2">
        <w:rPr>
          <w:rFonts w:cstheme="minorHAnsi"/>
        </w:rPr>
        <w:t>Förderung von Forschung und Entwicklung von Technologien, die für nach Teilmodulen 1 und 2 förderfähigen Maßnahmen nutzbar sind</w:t>
      </w:r>
      <w:r w:rsidR="00D82F2B" w:rsidRPr="00373DC2">
        <w:rPr>
          <w:rFonts w:cstheme="minorHAnsi"/>
        </w:rPr>
        <w:t xml:space="preserve"> auf Basis von Art. 25 AGVO</w:t>
      </w:r>
      <w:r w:rsidRPr="00373DC2">
        <w:rPr>
          <w:rFonts w:cstheme="minorHAnsi"/>
        </w:rPr>
        <w:t xml:space="preserve"> (Teilmodul</w:t>
      </w:r>
      <w:r w:rsidR="00490A04" w:rsidRPr="00373DC2">
        <w:rPr>
          <w:rFonts w:cstheme="minorHAnsi"/>
        </w:rPr>
        <w:t xml:space="preserve"> 3</w:t>
      </w:r>
      <w:r w:rsidRPr="00373DC2">
        <w:rPr>
          <w:rFonts w:cstheme="minorHAnsi"/>
        </w:rPr>
        <w:t>).</w:t>
      </w:r>
    </w:p>
    <w:p w14:paraId="787314B2" w14:textId="49F999B8" w:rsidR="00D927F3" w:rsidRPr="00373DC2" w:rsidRDefault="00D927F3" w:rsidP="00843608">
      <w:pPr>
        <w:pStyle w:val="Listenabsatz"/>
        <w:numPr>
          <w:ilvl w:val="0"/>
          <w:numId w:val="2"/>
        </w:numPr>
        <w:spacing w:line="240" w:lineRule="auto"/>
        <w:ind w:left="425" w:hanging="357"/>
        <w:contextualSpacing w:val="0"/>
        <w:rPr>
          <w:rFonts w:cstheme="minorHAnsi"/>
        </w:rPr>
      </w:pPr>
      <w:r w:rsidRPr="00373DC2">
        <w:rPr>
          <w:rFonts w:cstheme="minorHAnsi"/>
        </w:rPr>
        <w:t>Nicht gefördert werden</w:t>
      </w:r>
      <w:r w:rsidR="00E17FE1" w:rsidRPr="00373DC2">
        <w:rPr>
          <w:rFonts w:cstheme="minorHAnsi"/>
        </w:rPr>
        <w:t>:</w:t>
      </w:r>
    </w:p>
    <w:p w14:paraId="0821E4B4" w14:textId="4B7AF07A" w:rsidR="002F4B34" w:rsidRDefault="002F4B34" w:rsidP="00FF125D">
      <w:pPr>
        <w:pStyle w:val="Listenabsatz"/>
        <w:numPr>
          <w:ilvl w:val="0"/>
          <w:numId w:val="42"/>
        </w:numPr>
        <w:spacing w:before="240" w:after="0" w:line="240" w:lineRule="auto"/>
        <w:rPr>
          <w:rFonts w:cstheme="minorHAnsi"/>
        </w:rPr>
      </w:pPr>
      <w:r w:rsidRPr="00373DC2">
        <w:rPr>
          <w:rFonts w:cstheme="minorHAnsi"/>
        </w:rPr>
        <w:t xml:space="preserve">Investitionen unterhalb 1 Mio. </w:t>
      </w:r>
      <w:r w:rsidR="003F549F">
        <w:rPr>
          <w:rFonts w:cstheme="minorHAnsi"/>
        </w:rPr>
        <w:t>Euro</w:t>
      </w:r>
      <w:r w:rsidRPr="00373DC2">
        <w:rPr>
          <w:rFonts w:cstheme="minorHAnsi"/>
        </w:rPr>
        <w:t xml:space="preserve"> Gesamtinvestitionskosten,</w:t>
      </w:r>
    </w:p>
    <w:p w14:paraId="466856F4" w14:textId="54150BB5" w:rsidR="005D109F" w:rsidRPr="00CC0627" w:rsidRDefault="005D109F" w:rsidP="00FF125D">
      <w:pPr>
        <w:pStyle w:val="Listenabsatz"/>
        <w:numPr>
          <w:ilvl w:val="0"/>
          <w:numId w:val="42"/>
        </w:numPr>
        <w:spacing w:before="240" w:after="0" w:line="240" w:lineRule="auto"/>
        <w:rPr>
          <w:rFonts w:cstheme="minorHAnsi"/>
        </w:rPr>
      </w:pPr>
      <w:r w:rsidRPr="00CC0627">
        <w:rPr>
          <w:rFonts w:cstheme="minorHAnsi"/>
        </w:rPr>
        <w:t>nicht-innovative</w:t>
      </w:r>
      <w:r w:rsidR="009D2692" w:rsidRPr="00CC0627">
        <w:rPr>
          <w:rStyle w:val="Funotenzeichen"/>
          <w:rFonts w:cstheme="minorHAnsi"/>
        </w:rPr>
        <w:footnoteReference w:id="15"/>
      </w:r>
      <w:r w:rsidRPr="00CC0627">
        <w:rPr>
          <w:rFonts w:cstheme="minorHAnsi"/>
        </w:rPr>
        <w:t xml:space="preserve"> Projekte mit einem angestrebten Fördervolumen von unter 20 Mio. Euro,</w:t>
      </w:r>
    </w:p>
    <w:p w14:paraId="0539ADE6" w14:textId="76DAC8EE"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lastRenderedPageBreak/>
        <w:t>Maßnahmen, bei denen THG-Einsparungen durch Reduktion der Produktion erzielt werden, ohne dass diese Produktionsminderung durch die</w:t>
      </w:r>
      <w:r w:rsidR="00782188" w:rsidRPr="00373DC2">
        <w:rPr>
          <w:rFonts w:cstheme="minorHAnsi"/>
        </w:rPr>
        <w:t xml:space="preserve"> gleiche</w:t>
      </w:r>
      <w:r w:rsidRPr="00373DC2">
        <w:rPr>
          <w:rFonts w:cstheme="minorHAnsi"/>
        </w:rPr>
        <w:t xml:space="preserve"> Produktion</w:t>
      </w:r>
      <w:r w:rsidR="00782188" w:rsidRPr="00373DC2">
        <w:rPr>
          <w:rFonts w:cstheme="minorHAnsi"/>
        </w:rPr>
        <w:t>smenge</w:t>
      </w:r>
      <w:r w:rsidRPr="00373DC2">
        <w:rPr>
          <w:rFonts w:cstheme="minorHAnsi"/>
        </w:rPr>
        <w:t xml:space="preserve"> eines funktionsäquivalenten, weniger THG-intensiven Ersatzprodukts </w:t>
      </w:r>
      <w:r w:rsidR="00782188" w:rsidRPr="00373DC2">
        <w:rPr>
          <w:rFonts w:cstheme="minorHAnsi"/>
        </w:rPr>
        <w:t xml:space="preserve">ersetzt </w:t>
      </w:r>
      <w:r w:rsidRPr="00373DC2">
        <w:rPr>
          <w:rFonts w:cstheme="minorHAnsi"/>
        </w:rPr>
        <w:t>wird,</w:t>
      </w:r>
    </w:p>
    <w:p w14:paraId="48D67363" w14:textId="77777777" w:rsidR="004035DF" w:rsidRPr="00373DC2" w:rsidRDefault="004E32A3" w:rsidP="00FF125D">
      <w:pPr>
        <w:pStyle w:val="Listenabsatz"/>
        <w:numPr>
          <w:ilvl w:val="0"/>
          <w:numId w:val="42"/>
        </w:numPr>
        <w:spacing w:after="120" w:line="240" w:lineRule="auto"/>
        <w:contextualSpacing w:val="0"/>
        <w:rPr>
          <w:rFonts w:cstheme="minorHAnsi"/>
        </w:rPr>
      </w:pPr>
      <w:r w:rsidRPr="00373DC2" w:rsidDel="00016DAC">
        <w:rPr>
          <w:rFonts w:cstheme="minorHAnsi"/>
        </w:rPr>
        <w:t xml:space="preserve">Neuerrichtungen von Anlagen, in denen fossile </w:t>
      </w:r>
      <w:r w:rsidR="005421DE" w:rsidRPr="00373DC2" w:rsidDel="00016DAC">
        <w:rPr>
          <w:rFonts w:cstheme="minorHAnsi"/>
        </w:rPr>
        <w:t xml:space="preserve">Energieträger </w:t>
      </w:r>
      <w:r w:rsidR="00B91E68" w:rsidRPr="00373DC2" w:rsidDel="00016DAC">
        <w:rPr>
          <w:rFonts w:cstheme="minorHAnsi"/>
        </w:rPr>
        <w:t xml:space="preserve">rein energetisch </w:t>
      </w:r>
      <w:r w:rsidRPr="00373DC2" w:rsidDel="00016DAC">
        <w:rPr>
          <w:rFonts w:cstheme="minorHAnsi"/>
        </w:rPr>
        <w:t>eingesetzt werden,</w:t>
      </w:r>
    </w:p>
    <w:p w14:paraId="5CBF11C4" w14:textId="5998753C" w:rsidR="00016DAC" w:rsidRPr="00373DC2" w:rsidRDefault="00016DAC" w:rsidP="00FF125D">
      <w:pPr>
        <w:pStyle w:val="Listenabsatz"/>
        <w:numPr>
          <w:ilvl w:val="0"/>
          <w:numId w:val="42"/>
        </w:numPr>
        <w:spacing w:after="120" w:line="240" w:lineRule="auto"/>
        <w:contextualSpacing w:val="0"/>
        <w:rPr>
          <w:rFonts w:cstheme="minorHAnsi"/>
        </w:rPr>
      </w:pPr>
      <w:r w:rsidRPr="00373DC2">
        <w:rPr>
          <w:rFonts w:cstheme="minorHAnsi"/>
        </w:rPr>
        <w:t>Investitionen in Ausrüstungen, Maschinen und industrielle Produktionsanlagen, die fossile Brennstoffe einschließlich Erdgas nutzen, es sei denn die Investition dient der Installation von Zusatzkomponenten, durch die bestehende Anlagen, Maschinen oder industrielle Produktionsanlagen umweltverträglicher genutzt werden können; in diesem Fall darf die Investition weder zur Erhöhung der Produktionskapazität noch zu einem höheren Verbrauch fossiler Brennstoffe führen</w:t>
      </w:r>
      <w:r w:rsidR="00E17FE1" w:rsidRPr="00373DC2">
        <w:rPr>
          <w:rFonts w:cstheme="minorHAnsi"/>
        </w:rPr>
        <w:t>,</w:t>
      </w:r>
    </w:p>
    <w:p w14:paraId="3D4C9BD0" w14:textId="77777777"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t>Wärmenetze mit Ausnahme der Wärmenetze zur Wärmeversorgung der Produktionsanlagen sowie der Gebäudebereiche, in denen sich die Produktion befindet,</w:t>
      </w:r>
    </w:p>
    <w:p w14:paraId="3F0247E4" w14:textId="77777777"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t>Anlagen zur Erzeugung und Speicherung von elektrischer Energie,</w:t>
      </w:r>
    </w:p>
    <w:p w14:paraId="558CBAB0" w14:textId="47AC2EC1"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t>Anlagen für die Produktion von Wasserstoff</w:t>
      </w:r>
      <w:r w:rsidR="001844FA" w:rsidRPr="00373DC2">
        <w:rPr>
          <w:rFonts w:cstheme="minorHAnsi"/>
        </w:rPr>
        <w:t xml:space="preserve"> oder daraus gewonnener </w:t>
      </w:r>
      <w:r w:rsidR="005421DE" w:rsidRPr="00373DC2">
        <w:rPr>
          <w:rFonts w:cstheme="minorHAnsi"/>
        </w:rPr>
        <w:t>Energieträger</w:t>
      </w:r>
      <w:r w:rsidRPr="00373DC2">
        <w:rPr>
          <w:rFonts w:cstheme="minorHAnsi"/>
        </w:rPr>
        <w:t>, d</w:t>
      </w:r>
      <w:r w:rsidR="001844FA" w:rsidRPr="00373DC2">
        <w:rPr>
          <w:rFonts w:cstheme="minorHAnsi"/>
        </w:rPr>
        <w:t>ie</w:t>
      </w:r>
      <w:r w:rsidRPr="00373DC2">
        <w:rPr>
          <w:rFonts w:cstheme="minorHAnsi"/>
        </w:rPr>
        <w:t xml:space="preserve"> nicht von einem der Zuwendungsempfänger des Projekts genutzt w</w:t>
      </w:r>
      <w:r w:rsidR="00D11C02" w:rsidRPr="00373DC2">
        <w:rPr>
          <w:rFonts w:cstheme="minorHAnsi"/>
        </w:rPr>
        <w:t>erden</w:t>
      </w:r>
      <w:r w:rsidRPr="00373DC2">
        <w:rPr>
          <w:rFonts w:cstheme="minorHAnsi"/>
        </w:rPr>
        <w:t xml:space="preserve">, </w:t>
      </w:r>
    </w:p>
    <w:p w14:paraId="12E2C902" w14:textId="4260CB1D"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t>Maßnahmen, die überwiegend auf Energieeffizienz, Ressourceneffizienz, oder auf Konstruktionstechniken im Leichtbau abzielen,</w:t>
      </w:r>
    </w:p>
    <w:p w14:paraId="214607C1" w14:textId="24CCFB99" w:rsidR="00D927F3" w:rsidRPr="00373DC2" w:rsidRDefault="00D927F3" w:rsidP="00FF125D">
      <w:pPr>
        <w:pStyle w:val="Listenabsatz"/>
        <w:numPr>
          <w:ilvl w:val="0"/>
          <w:numId w:val="42"/>
        </w:numPr>
        <w:spacing w:after="120" w:line="240" w:lineRule="auto"/>
        <w:contextualSpacing w:val="0"/>
        <w:rPr>
          <w:rFonts w:cstheme="minorHAnsi"/>
        </w:rPr>
      </w:pPr>
      <w:r w:rsidRPr="00373DC2">
        <w:rPr>
          <w:rFonts w:cstheme="minorHAnsi"/>
        </w:rPr>
        <w:t>Investitionen in den energetischen Einsatz von Biomasse mit etablierter Technologie bei Fremdbezug der Biomasse,</w:t>
      </w:r>
    </w:p>
    <w:p w14:paraId="7D03C8F7" w14:textId="2F82A9D8" w:rsidR="00D927F3" w:rsidRPr="00373DC2" w:rsidRDefault="00D927F3" w:rsidP="00FF125D">
      <w:pPr>
        <w:pStyle w:val="Listenabsatz"/>
        <w:numPr>
          <w:ilvl w:val="0"/>
          <w:numId w:val="42"/>
        </w:numPr>
        <w:spacing w:before="240" w:line="240" w:lineRule="auto"/>
        <w:rPr>
          <w:rFonts w:cstheme="minorHAnsi"/>
        </w:rPr>
      </w:pPr>
      <w:r w:rsidRPr="00373DC2">
        <w:rPr>
          <w:rFonts w:cstheme="minorHAnsi"/>
        </w:rPr>
        <w:t xml:space="preserve">Vorhaben, </w:t>
      </w:r>
      <w:r w:rsidR="002E7C42" w:rsidRPr="00373DC2">
        <w:rPr>
          <w:rFonts w:cstheme="minorHAnsi"/>
        </w:rPr>
        <w:t xml:space="preserve">durch die THG-Emissionen lediglich in </w:t>
      </w:r>
      <w:r w:rsidR="00B91E68" w:rsidRPr="00373DC2">
        <w:rPr>
          <w:rFonts w:cstheme="minorHAnsi"/>
        </w:rPr>
        <w:t xml:space="preserve">einen </w:t>
      </w:r>
      <w:r w:rsidR="002E7C42" w:rsidRPr="00373DC2">
        <w:rPr>
          <w:rFonts w:cstheme="minorHAnsi"/>
        </w:rPr>
        <w:t>anderen Sektor verschoben werden.</w:t>
      </w:r>
    </w:p>
    <w:bookmarkEnd w:id="23"/>
    <w:p w14:paraId="0FDBA098" w14:textId="16527F2B" w:rsidR="00AF1E92" w:rsidRPr="00373DC2" w:rsidRDefault="00AF1E92" w:rsidP="00314545">
      <w:pPr>
        <w:spacing w:line="240" w:lineRule="auto"/>
        <w:rPr>
          <w:rFonts w:cstheme="minorHAnsi"/>
          <w:highlight w:val="cyan"/>
        </w:rPr>
      </w:pPr>
    </w:p>
    <w:p w14:paraId="0EB65073" w14:textId="1AB1C51C" w:rsidR="00F66BD4" w:rsidRDefault="00C41A96">
      <w:pPr>
        <w:spacing w:before="240" w:line="240" w:lineRule="auto"/>
        <w:rPr>
          <w:rFonts w:cstheme="minorHAnsi"/>
          <w:b/>
        </w:rPr>
      </w:pPr>
      <w:r w:rsidRPr="00373DC2">
        <w:rPr>
          <w:rFonts w:cstheme="minorHAnsi"/>
          <w:b/>
        </w:rPr>
        <w:t>5.2</w:t>
      </w:r>
      <w:r w:rsidR="007646E7">
        <w:rPr>
          <w:rFonts w:cstheme="minorHAnsi"/>
          <w:b/>
        </w:rPr>
        <w:t xml:space="preserve"> </w:t>
      </w:r>
      <w:bookmarkStart w:id="24" w:name="_Hlk146034646"/>
      <w:r w:rsidR="00240AD2">
        <w:rPr>
          <w:rFonts w:cstheme="minorHAnsi"/>
          <w:b/>
        </w:rPr>
        <w:t>A</w:t>
      </w:r>
      <w:r w:rsidR="008D7820" w:rsidRPr="00373DC2">
        <w:rPr>
          <w:rFonts w:cstheme="minorHAnsi"/>
          <w:b/>
        </w:rPr>
        <w:t>llgemeine Fördervoraussetzungen</w:t>
      </w:r>
      <w:r w:rsidRPr="00373DC2">
        <w:rPr>
          <w:rFonts w:cstheme="minorHAnsi"/>
          <w:b/>
        </w:rPr>
        <w:t xml:space="preserve"> </w:t>
      </w:r>
      <w:bookmarkEnd w:id="24"/>
    </w:p>
    <w:p w14:paraId="11ECFB61" w14:textId="6EC8278B" w:rsidR="00D134B0" w:rsidRDefault="00D134B0" w:rsidP="00045615">
      <w:pPr>
        <w:pStyle w:val="Listenabsatz"/>
        <w:numPr>
          <w:ilvl w:val="0"/>
          <w:numId w:val="56"/>
        </w:numPr>
        <w:spacing w:line="240" w:lineRule="auto"/>
        <w:contextualSpacing w:val="0"/>
        <w:rPr>
          <w:rFonts w:cstheme="minorHAnsi"/>
        </w:rPr>
      </w:pPr>
      <w:r>
        <w:rPr>
          <w:rFonts w:cstheme="minorHAnsi"/>
        </w:rPr>
        <w:t xml:space="preserve">Die Förderung erfolgt nur wenn das Vorhaben zu den Zielen der jeweilig einschlägigen nationalen Strategien beiträgt. </w:t>
      </w:r>
    </w:p>
    <w:p w14:paraId="59E34F08" w14:textId="3585F82C" w:rsidR="00D134B0" w:rsidRDefault="00045615" w:rsidP="00045615">
      <w:pPr>
        <w:pStyle w:val="Listenabsatz"/>
        <w:numPr>
          <w:ilvl w:val="0"/>
          <w:numId w:val="56"/>
        </w:numPr>
        <w:spacing w:line="240" w:lineRule="auto"/>
        <w:contextualSpacing w:val="0"/>
        <w:rPr>
          <w:rFonts w:cstheme="minorHAnsi"/>
        </w:rPr>
      </w:pPr>
      <w:r w:rsidRPr="00373DC2">
        <w:rPr>
          <w:rFonts w:cstheme="minorHAnsi"/>
        </w:rPr>
        <w:t xml:space="preserve">Soll ein Vorhaben </w:t>
      </w:r>
      <w:r w:rsidR="00745B78" w:rsidRPr="00373DC2">
        <w:rPr>
          <w:rFonts w:cstheme="minorHAnsi"/>
        </w:rPr>
        <w:t>Unions</w:t>
      </w:r>
      <w:r w:rsidR="00745B78">
        <w:rPr>
          <w:rFonts w:cstheme="minorHAnsi"/>
        </w:rPr>
        <w:t>normen</w:t>
      </w:r>
      <w:r w:rsidR="00745B78" w:rsidRPr="00373DC2">
        <w:rPr>
          <w:rFonts w:cstheme="minorHAnsi"/>
        </w:rPr>
        <w:t xml:space="preserve"> er</w:t>
      </w:r>
      <w:r w:rsidR="00745B78">
        <w:rPr>
          <w:rFonts w:cstheme="minorHAnsi"/>
        </w:rPr>
        <w:t>füllen</w:t>
      </w:r>
      <w:r w:rsidRPr="00373DC2">
        <w:rPr>
          <w:rFonts w:cstheme="minorHAnsi"/>
        </w:rPr>
        <w:t>, die bereits verabschiedet, aber noch nicht in Kraft sind, müssen diese mindestens 18 Monate vor ihrem Inkrafttreten erreicht werden.</w:t>
      </w:r>
      <w:r w:rsidR="00745B78">
        <w:rPr>
          <w:rFonts w:cstheme="minorHAnsi"/>
        </w:rPr>
        <w:t xml:space="preserve"> Nicht förderfähig sind Vorhaben, die lediglich geltende Unionsnormen erfüllen. </w:t>
      </w:r>
    </w:p>
    <w:p w14:paraId="79D9180F" w14:textId="30E38134" w:rsidR="00045615" w:rsidRPr="00373DC2" w:rsidRDefault="00045615" w:rsidP="00045615">
      <w:pPr>
        <w:pStyle w:val="Listenabsatz"/>
        <w:numPr>
          <w:ilvl w:val="0"/>
          <w:numId w:val="56"/>
        </w:numPr>
        <w:spacing w:line="240" w:lineRule="auto"/>
        <w:contextualSpacing w:val="0"/>
        <w:rPr>
          <w:rFonts w:cstheme="minorHAnsi"/>
        </w:rPr>
      </w:pPr>
      <w:r w:rsidRPr="00373DC2">
        <w:rPr>
          <w:rFonts w:cstheme="minorHAnsi"/>
        </w:rPr>
        <w:t>Im Rahmen der Vorhaben sind Energie und Material so effizient wie möglich entsprechend dem Stand der Technik (BVT)</w:t>
      </w:r>
      <w:r w:rsidRPr="00373DC2">
        <w:rPr>
          <w:rStyle w:val="Funotenzeichen"/>
          <w:rFonts w:cstheme="minorHAnsi"/>
        </w:rPr>
        <w:footnoteReference w:id="16"/>
      </w:r>
      <w:r w:rsidRPr="00373DC2">
        <w:rPr>
          <w:rFonts w:cstheme="minorHAnsi"/>
        </w:rPr>
        <w:t xml:space="preserve"> einzusetzen.</w:t>
      </w:r>
    </w:p>
    <w:p w14:paraId="187CF0C3" w14:textId="302BDE8E" w:rsidR="00045615" w:rsidRDefault="00045615" w:rsidP="00045615">
      <w:pPr>
        <w:pStyle w:val="Listenabsatz"/>
        <w:numPr>
          <w:ilvl w:val="0"/>
          <w:numId w:val="56"/>
        </w:numPr>
        <w:spacing w:line="240" w:lineRule="auto"/>
        <w:ind w:left="426" w:hanging="357"/>
        <w:contextualSpacing w:val="0"/>
        <w:rPr>
          <w:rFonts w:cstheme="minorHAnsi"/>
        </w:rPr>
      </w:pPr>
      <w:r w:rsidRPr="00373DC2">
        <w:rPr>
          <w:rFonts w:cstheme="minorHAnsi"/>
        </w:rPr>
        <w:t xml:space="preserve">Ab 15 Mio. </w:t>
      </w:r>
      <w:r>
        <w:rPr>
          <w:rFonts w:cstheme="minorHAnsi"/>
        </w:rPr>
        <w:t>Euro</w:t>
      </w:r>
      <w:r w:rsidRPr="00373DC2">
        <w:rPr>
          <w:rFonts w:cstheme="minorHAnsi"/>
        </w:rPr>
        <w:t xml:space="preserve"> Fördervolumen in Investitionsvorhaben (Teilmodule 1 und 2) erfolgt die Förderung auf Basis einer Kofinanzierung durch die Bundesländer.  Das Bundesland, in dem die Investition stattfindet, muss vor Antragseinreichung schriftlich bestätigen, dass es mindestens 30 % der beantragten Förderung finanziert. Der Bund trägt maximal 70 % der beantragten Förderung und nur unter der Bedingung, dass die dreißigprozentige Landeskofinanzierung erfolgt.</w:t>
      </w:r>
    </w:p>
    <w:p w14:paraId="1E05C747" w14:textId="6F8E85ED" w:rsidR="00746CDE" w:rsidRPr="00373DC2" w:rsidRDefault="00746CDE" w:rsidP="00045615">
      <w:pPr>
        <w:pStyle w:val="Listenabsatz"/>
        <w:numPr>
          <w:ilvl w:val="0"/>
          <w:numId w:val="56"/>
        </w:numPr>
        <w:spacing w:line="240" w:lineRule="auto"/>
        <w:ind w:left="426" w:hanging="357"/>
        <w:contextualSpacing w:val="0"/>
        <w:rPr>
          <w:rFonts w:cstheme="minorHAnsi"/>
        </w:rPr>
      </w:pPr>
      <w:r w:rsidRPr="00373DC2">
        <w:rPr>
          <w:rFonts w:cstheme="minorHAnsi"/>
        </w:rPr>
        <w:t>Die energetische Nutzung von Biomasse ist nur förderfähig, soweit der Antragsteller nach-weisen kann, dass eine Direktelektrifizierung technisch und eine Wasserstoffnutzung  technisch oder wirtschaftlich absehbar nicht verfügbar</w:t>
      </w:r>
      <w:r w:rsidRPr="00373DC2" w:rsidDel="00427056">
        <w:rPr>
          <w:rFonts w:cstheme="minorHAnsi"/>
        </w:rPr>
        <w:t xml:space="preserve"> </w:t>
      </w:r>
      <w:r w:rsidRPr="00373DC2">
        <w:rPr>
          <w:rFonts w:cstheme="minorHAnsi"/>
        </w:rPr>
        <w:t xml:space="preserve">ist, und soweit die geplante Nutzung von Biomasse </w:t>
      </w:r>
      <w:r w:rsidRPr="00373DC2">
        <w:rPr>
          <w:rFonts w:cstheme="minorHAnsi"/>
        </w:rPr>
        <w:lastRenderedPageBreak/>
        <w:t xml:space="preserve">mit Blick auf die begrenzten nachhaltig verfügbaren Biomassepotenziale </w:t>
      </w:r>
      <w:r w:rsidRPr="00373DC2" w:rsidDel="00435033">
        <w:rPr>
          <w:rFonts w:cstheme="minorHAnsi"/>
        </w:rPr>
        <w:t xml:space="preserve">skalierbar </w:t>
      </w:r>
      <w:r w:rsidRPr="00373DC2">
        <w:rPr>
          <w:rFonts w:cstheme="minorHAnsi"/>
        </w:rPr>
        <w:t>ist. Die Bewilligungsbehörde wird im Förderaufruf unter Berücksichtigung des Stands der Technik Vorgaben machen, wie diese Nachweise zu erbringen sind.</w:t>
      </w:r>
      <w:r w:rsidRPr="00373DC2" w:rsidDel="004F0053">
        <w:rPr>
          <w:rFonts w:cstheme="minorHAnsi"/>
        </w:rPr>
        <w:t xml:space="preserve"> Die energetische Nutzung von Biomasse sollte auf Rest- und Abfallstoffe sowie auf aus Rest- und Abfallstoffen gewonnene Rohstoffe und Energieträger beschränkt sein</w:t>
      </w:r>
      <w:r w:rsidRPr="00373DC2">
        <w:rPr>
          <w:rFonts w:cstheme="minorHAnsi"/>
        </w:rPr>
        <w:t xml:space="preserve">. Soweit Biomasse förderfähig ist, hat der Antragsteller die Herkunft und die Bezugsquelle der im Rahmen der Förderung eingesetzten Biomasse nachzuweisen. Verwendete Energie aus Biomasse muss den Anforderungen der Biomasseverordnung, der Biomassestrom-Nachhaltigkeitsverordnung sowie den Nachhaltigkeitsanforderungen des Art. Artikels 29 der Richtlinie (EU) 2018/2001 (RED II) und anderen Rechtsakten der EU (z.B. der künftigen RED III) genügen. Trifft die Nationale Biomassestrategie abweichende Anforderungen für die Förderung von Feuerungsanlagen zur Nutzung </w:t>
      </w:r>
      <w:r w:rsidR="006532AD">
        <w:rPr>
          <w:rFonts w:cstheme="minorHAnsi"/>
        </w:rPr>
        <w:t>von</w:t>
      </w:r>
      <w:r w:rsidR="006532AD" w:rsidRPr="00373DC2">
        <w:rPr>
          <w:rFonts w:cstheme="minorHAnsi"/>
        </w:rPr>
        <w:t xml:space="preserve"> </w:t>
      </w:r>
      <w:r w:rsidRPr="00373DC2">
        <w:rPr>
          <w:rFonts w:cstheme="minorHAnsi"/>
        </w:rPr>
        <w:t>Biomasse oder weitergehende Förderungsmöglichkeiten, gelten diese entsprechend für diese Förderrichtlinie.</w:t>
      </w:r>
    </w:p>
    <w:p w14:paraId="3FEE284B" w14:textId="77777777" w:rsidR="00045615" w:rsidRPr="00045615" w:rsidRDefault="00045615" w:rsidP="00314545">
      <w:pPr>
        <w:spacing w:line="240" w:lineRule="auto"/>
        <w:rPr>
          <w:rFonts w:cstheme="minorHAnsi"/>
        </w:rPr>
      </w:pPr>
    </w:p>
    <w:p w14:paraId="4FEA4A6C" w14:textId="22E081C5" w:rsidR="00240AD2" w:rsidRDefault="00240AD2" w:rsidP="00553516">
      <w:pPr>
        <w:pStyle w:val="Listenabsatz"/>
        <w:numPr>
          <w:ilvl w:val="1"/>
          <w:numId w:val="62"/>
        </w:numPr>
        <w:spacing w:before="240" w:line="240" w:lineRule="auto"/>
        <w:rPr>
          <w:rFonts w:cstheme="minorHAnsi"/>
          <w:b/>
        </w:rPr>
      </w:pPr>
      <w:bookmarkStart w:id="25" w:name="_Hlk146034653"/>
      <w:r w:rsidRPr="00354F48">
        <w:rPr>
          <w:rFonts w:cstheme="minorHAnsi"/>
          <w:b/>
        </w:rPr>
        <w:t>Besondere Fördervoraussetzungen</w:t>
      </w:r>
    </w:p>
    <w:bookmarkEnd w:id="25"/>
    <w:p w14:paraId="4E3EF8A6" w14:textId="70ECDC7E" w:rsidR="00C41A96" w:rsidRPr="00794849" w:rsidRDefault="00553516" w:rsidP="00553516">
      <w:pPr>
        <w:spacing w:before="240" w:line="240" w:lineRule="auto"/>
        <w:rPr>
          <w:rFonts w:cstheme="minorHAnsi"/>
          <w:b/>
        </w:rPr>
      </w:pPr>
      <w:r>
        <w:rPr>
          <w:rFonts w:cstheme="minorHAnsi"/>
          <w:b/>
        </w:rPr>
        <w:t xml:space="preserve">5.3.1 </w:t>
      </w:r>
      <w:r w:rsidR="00C41A96" w:rsidRPr="00794849">
        <w:rPr>
          <w:rFonts w:cstheme="minorHAnsi"/>
          <w:b/>
        </w:rPr>
        <w:t>Teilmodul 1</w:t>
      </w:r>
    </w:p>
    <w:p w14:paraId="6F916B32" w14:textId="2089ACA5" w:rsidR="00FB6FE8" w:rsidRPr="00373DC2" w:rsidRDefault="00FB6FE8" w:rsidP="00FF125D">
      <w:pPr>
        <w:spacing w:line="240" w:lineRule="auto"/>
        <w:ind w:left="426" w:hanging="426"/>
        <w:rPr>
          <w:rFonts w:cstheme="minorHAnsi"/>
        </w:rPr>
      </w:pPr>
      <w:r w:rsidRPr="00373DC2">
        <w:rPr>
          <w:rFonts w:cstheme="minorHAnsi"/>
        </w:rPr>
        <w:t>(1)</w:t>
      </w:r>
      <w:r w:rsidRPr="00373DC2">
        <w:rPr>
          <w:rFonts w:cstheme="minorHAnsi"/>
        </w:rPr>
        <w:tab/>
      </w:r>
      <w:bookmarkStart w:id="26" w:name="_Hlk146036199"/>
      <w:r w:rsidR="00A8789C" w:rsidRPr="00373DC2">
        <w:rPr>
          <w:rFonts w:cstheme="minorHAnsi"/>
        </w:rPr>
        <w:t>Im Teilmodul 1 sind Vorhaben förderfähig</w:t>
      </w:r>
      <w:r w:rsidR="00C41A96" w:rsidRPr="00373DC2">
        <w:rPr>
          <w:rFonts w:cstheme="minorHAnsi"/>
        </w:rPr>
        <w:t>, die zu einer Verringerung der direkten THG-Emissionen der geförderten Anlage</w:t>
      </w:r>
      <w:r w:rsidR="00427056" w:rsidRPr="00373DC2">
        <w:rPr>
          <w:rFonts w:cstheme="minorHAnsi"/>
        </w:rPr>
        <w:t xml:space="preserve"> bzw. </w:t>
      </w:r>
      <w:r w:rsidR="008F48F4" w:rsidRPr="00373DC2">
        <w:rPr>
          <w:rFonts w:cstheme="minorHAnsi"/>
        </w:rPr>
        <w:t>Prozessschritte</w:t>
      </w:r>
      <w:r w:rsidR="00C41A96" w:rsidRPr="00373DC2">
        <w:rPr>
          <w:rFonts w:cstheme="minorHAnsi"/>
        </w:rPr>
        <w:t xml:space="preserve"> um mindestens 40 </w:t>
      </w:r>
      <w:r w:rsidR="00A63819">
        <w:rPr>
          <w:rFonts w:cstheme="minorHAnsi"/>
        </w:rPr>
        <w:t>Prozent</w:t>
      </w:r>
      <w:r w:rsidR="00A63819" w:rsidRPr="00373DC2">
        <w:rPr>
          <w:rFonts w:cstheme="minorHAnsi"/>
        </w:rPr>
        <w:t xml:space="preserve"> </w:t>
      </w:r>
      <w:r w:rsidR="00C41A96" w:rsidRPr="00373DC2">
        <w:rPr>
          <w:rFonts w:cstheme="minorHAnsi"/>
        </w:rPr>
        <w:t>gegenüber der Situation vor der Förderung führen</w:t>
      </w:r>
      <w:r w:rsidR="00E36349" w:rsidRPr="00373DC2">
        <w:rPr>
          <w:rFonts w:cstheme="minorHAnsi"/>
        </w:rPr>
        <w:t>. Bei zu errichtenden Anlagen</w:t>
      </w:r>
      <w:r w:rsidR="00013640" w:rsidRPr="00373DC2">
        <w:rPr>
          <w:rFonts w:cstheme="minorHAnsi"/>
        </w:rPr>
        <w:t>,</w:t>
      </w:r>
      <w:r w:rsidR="00E36349" w:rsidRPr="00373DC2">
        <w:rPr>
          <w:rFonts w:cstheme="minorHAnsi"/>
        </w:rPr>
        <w:t xml:space="preserve"> die keine bestehende Anlagen ersetzen („greenfield</w:t>
      </w:r>
      <w:r w:rsidR="00D403ED" w:rsidRPr="00373DC2">
        <w:rPr>
          <w:rFonts w:cstheme="minorHAnsi"/>
        </w:rPr>
        <w:t xml:space="preserve"> Investitionen</w:t>
      </w:r>
      <w:r w:rsidR="00E36349" w:rsidRPr="00373DC2">
        <w:rPr>
          <w:rFonts w:cstheme="minorHAnsi"/>
        </w:rPr>
        <w:t>“)</w:t>
      </w:r>
      <w:r w:rsidR="00013640" w:rsidRPr="00373DC2">
        <w:rPr>
          <w:rFonts w:cstheme="minorHAnsi"/>
        </w:rPr>
        <w:t>,</w:t>
      </w:r>
      <w:r w:rsidR="00E36349" w:rsidRPr="00373DC2">
        <w:rPr>
          <w:rFonts w:cstheme="minorHAnsi"/>
        </w:rPr>
        <w:t xml:space="preserve"> müssen 40 </w:t>
      </w:r>
      <w:r w:rsidR="00A63819">
        <w:rPr>
          <w:rFonts w:cstheme="minorHAnsi"/>
        </w:rPr>
        <w:t>Prozent</w:t>
      </w:r>
      <w:r w:rsidR="00A63819" w:rsidRPr="00373DC2">
        <w:rPr>
          <w:rFonts w:cstheme="minorHAnsi"/>
        </w:rPr>
        <w:t xml:space="preserve"> </w:t>
      </w:r>
      <w:r w:rsidR="00E36349" w:rsidRPr="00373DC2">
        <w:rPr>
          <w:rFonts w:cstheme="minorHAnsi"/>
        </w:rPr>
        <w:t xml:space="preserve">weniger THG-Emissionen entstehen </w:t>
      </w:r>
      <w:r w:rsidR="0051124F" w:rsidRPr="00373DC2">
        <w:rPr>
          <w:rFonts w:cstheme="minorHAnsi"/>
        </w:rPr>
        <w:t xml:space="preserve">als </w:t>
      </w:r>
      <w:r w:rsidR="00E36349" w:rsidRPr="00373DC2">
        <w:rPr>
          <w:rFonts w:cstheme="minorHAnsi"/>
        </w:rPr>
        <w:t>bei entsprechenden Vergleichsanlagen.</w:t>
      </w:r>
      <w:r w:rsidR="00E36349" w:rsidRPr="00373DC2">
        <w:rPr>
          <w:rStyle w:val="Funotenzeichen"/>
          <w:rFonts w:cstheme="minorHAnsi"/>
        </w:rPr>
        <w:footnoteReference w:id="17"/>
      </w:r>
      <w:r w:rsidR="00CA4DB9" w:rsidRPr="00373DC2">
        <w:rPr>
          <w:rFonts w:cstheme="minorHAnsi"/>
        </w:rPr>
        <w:t xml:space="preserve"> Es </w:t>
      </w:r>
      <w:r w:rsidR="002E7F8C" w:rsidRPr="00373DC2">
        <w:rPr>
          <w:rFonts w:cstheme="minorHAnsi"/>
        </w:rPr>
        <w:t>gelten die Bedingungen von Artikel 36 AGVO</w:t>
      </w:r>
      <w:r w:rsidR="00CA4DB9" w:rsidRPr="00373DC2">
        <w:rPr>
          <w:rFonts w:cstheme="minorHAnsi"/>
        </w:rPr>
        <w:t>, es sei denn</w:t>
      </w:r>
      <w:r w:rsidR="00492BF0" w:rsidRPr="00373DC2">
        <w:rPr>
          <w:rFonts w:cstheme="minorHAnsi"/>
        </w:rPr>
        <w:t>,</w:t>
      </w:r>
      <w:r w:rsidR="00CA4DB9" w:rsidRPr="00373DC2">
        <w:rPr>
          <w:rFonts w:cstheme="minorHAnsi"/>
        </w:rPr>
        <w:t xml:space="preserve"> es wird in den folgenden Absätzen davon abgewichen</w:t>
      </w:r>
      <w:r w:rsidR="00AE4787" w:rsidRPr="00373DC2">
        <w:rPr>
          <w:rFonts w:cstheme="minorHAnsi"/>
        </w:rPr>
        <w:t>.</w:t>
      </w:r>
    </w:p>
    <w:p w14:paraId="6B18B71B" w14:textId="08862ABB" w:rsidR="00CA4DB9" w:rsidRPr="00373DC2" w:rsidRDefault="00FB6FE8" w:rsidP="00B236E1">
      <w:pPr>
        <w:spacing w:line="240" w:lineRule="auto"/>
        <w:ind w:left="426" w:hanging="426"/>
        <w:rPr>
          <w:rFonts w:cstheme="minorHAnsi"/>
        </w:rPr>
      </w:pPr>
      <w:r w:rsidRPr="00373DC2">
        <w:rPr>
          <w:rFonts w:cstheme="minorHAnsi"/>
        </w:rPr>
        <w:t>(2)</w:t>
      </w:r>
      <w:r w:rsidRPr="00373DC2">
        <w:rPr>
          <w:rFonts w:cstheme="minorHAnsi"/>
        </w:rPr>
        <w:tab/>
      </w:r>
      <w:r w:rsidR="002F4B34" w:rsidRPr="00373DC2">
        <w:rPr>
          <w:rFonts w:cstheme="minorHAnsi"/>
        </w:rPr>
        <w:t>Investitionsvorhaben im Zusammenhang mit Tätigkeiten</w:t>
      </w:r>
      <w:r w:rsidR="00667C41" w:rsidRPr="00373DC2">
        <w:rPr>
          <w:rFonts w:cstheme="minorHAnsi"/>
        </w:rPr>
        <w:t>,</w:t>
      </w:r>
      <w:r w:rsidR="002F4B34" w:rsidRPr="00373DC2">
        <w:rPr>
          <w:rFonts w:cstheme="minorHAnsi"/>
        </w:rPr>
        <w:t xml:space="preserve"> die unter das Emissionshandelssystem (EHS)</w:t>
      </w:r>
      <w:r w:rsidR="003D6061" w:rsidRPr="00373DC2">
        <w:rPr>
          <w:rFonts w:cstheme="minorHAnsi"/>
        </w:rPr>
        <w:t xml:space="preserve"> nach Anhang 1 der Richtlinie 2003/87</w:t>
      </w:r>
      <w:r w:rsidR="002F4B34" w:rsidRPr="00373DC2">
        <w:rPr>
          <w:rFonts w:cstheme="minorHAnsi"/>
        </w:rPr>
        <w:t xml:space="preserve"> fallen, sind nur </w:t>
      </w:r>
      <w:r w:rsidR="00DB33A0" w:rsidRPr="00373DC2">
        <w:rPr>
          <w:rFonts w:cstheme="minorHAnsi"/>
        </w:rPr>
        <w:t>förderfähig</w:t>
      </w:r>
      <w:r w:rsidR="002F4B34" w:rsidRPr="00373DC2">
        <w:rPr>
          <w:rFonts w:cstheme="minorHAnsi"/>
        </w:rPr>
        <w:t>, wenn die Beihilfe dazu führt, dass die Treibhausgasemissionen der geförderten Anlage</w:t>
      </w:r>
      <w:r w:rsidR="008F48F4" w:rsidRPr="00373DC2">
        <w:rPr>
          <w:rFonts w:cstheme="minorHAnsi"/>
        </w:rPr>
        <w:t xml:space="preserve"> bzw. Prozess</w:t>
      </w:r>
      <w:r w:rsidR="00ED4273" w:rsidRPr="00373DC2">
        <w:rPr>
          <w:rFonts w:cstheme="minorHAnsi"/>
        </w:rPr>
        <w:t>s</w:t>
      </w:r>
      <w:r w:rsidR="008F48F4" w:rsidRPr="00373DC2">
        <w:rPr>
          <w:rFonts w:cstheme="minorHAnsi"/>
        </w:rPr>
        <w:t>chritte</w:t>
      </w:r>
      <w:r w:rsidR="002F4B34" w:rsidRPr="00373DC2">
        <w:rPr>
          <w:rFonts w:cstheme="minorHAnsi"/>
        </w:rPr>
        <w:t xml:space="preserve"> unter die einschlägigen Benchmarkwerte für die kostenlose Zuteilung gemäß der Durchführungsverordnung (EU) 2021/447 der </w:t>
      </w:r>
      <w:r w:rsidR="0034465B" w:rsidRPr="00373DC2">
        <w:rPr>
          <w:rFonts w:cstheme="minorHAnsi"/>
        </w:rPr>
        <w:t>Europäischen Kommission</w:t>
      </w:r>
      <w:r w:rsidR="002F4B34" w:rsidRPr="00373DC2">
        <w:rPr>
          <w:rFonts w:cstheme="minorHAnsi"/>
        </w:rPr>
        <w:t xml:space="preserve"> sinken.</w:t>
      </w:r>
    </w:p>
    <w:bookmarkEnd w:id="26"/>
    <w:p w14:paraId="74A282F6" w14:textId="49B4BC0D" w:rsidR="00C41A96" w:rsidRPr="00373DC2" w:rsidRDefault="00C41A96" w:rsidP="00504AB3">
      <w:pPr>
        <w:spacing w:line="240" w:lineRule="auto"/>
        <w:rPr>
          <w:rFonts w:cstheme="minorHAnsi"/>
          <w:b/>
        </w:rPr>
      </w:pPr>
      <w:r w:rsidRPr="00373DC2">
        <w:rPr>
          <w:rFonts w:cstheme="minorHAnsi"/>
          <w:b/>
        </w:rPr>
        <w:t>5.</w:t>
      </w:r>
      <w:r w:rsidR="00745B78">
        <w:rPr>
          <w:rFonts w:cstheme="minorHAnsi"/>
          <w:b/>
        </w:rPr>
        <w:t>3</w:t>
      </w:r>
      <w:r w:rsidRPr="00373DC2">
        <w:rPr>
          <w:rFonts w:cstheme="minorHAnsi"/>
          <w:b/>
        </w:rPr>
        <w:t xml:space="preserve">.2 Teilmodul 2 </w:t>
      </w:r>
    </w:p>
    <w:p w14:paraId="224CCB0D" w14:textId="214A9ECF" w:rsidR="00BA133B" w:rsidRPr="00373DC2" w:rsidRDefault="00BA133B" w:rsidP="00AA3131">
      <w:pPr>
        <w:pStyle w:val="Listenabsatz"/>
        <w:numPr>
          <w:ilvl w:val="0"/>
          <w:numId w:val="10"/>
        </w:numPr>
        <w:spacing w:line="240" w:lineRule="auto"/>
        <w:contextualSpacing w:val="0"/>
        <w:rPr>
          <w:rFonts w:cstheme="minorHAnsi"/>
        </w:rPr>
      </w:pPr>
      <w:bookmarkStart w:id="27" w:name="_Hlk146036399"/>
      <w:r w:rsidRPr="00373DC2">
        <w:rPr>
          <w:rFonts w:cstheme="minorHAnsi"/>
        </w:rPr>
        <w:t>Im Teilmodul 2 sind Vorhaben förderfähig, die zu einer Verringerung der direkten THG-Emissionen der geförderten Anlage</w:t>
      </w:r>
      <w:r w:rsidR="00CA4434" w:rsidRPr="00373DC2">
        <w:rPr>
          <w:rFonts w:cstheme="minorHAnsi"/>
        </w:rPr>
        <w:t xml:space="preserve"> bzw. Prozessschritte</w:t>
      </w:r>
      <w:r w:rsidRPr="00373DC2">
        <w:rPr>
          <w:rFonts w:cstheme="minorHAnsi"/>
        </w:rPr>
        <w:t xml:space="preserve">, in der gegenwärtig fossile Brennstoffe als Energiequelle oder Rohstoff genutzt werden, um mindestens 40 </w:t>
      </w:r>
      <w:r w:rsidR="00A63819">
        <w:rPr>
          <w:rFonts w:cstheme="minorHAnsi"/>
        </w:rPr>
        <w:t>Prozent</w:t>
      </w:r>
      <w:r w:rsidR="00A63819" w:rsidRPr="00373DC2">
        <w:rPr>
          <w:rFonts w:cstheme="minorHAnsi"/>
        </w:rPr>
        <w:t xml:space="preserve"> </w:t>
      </w:r>
      <w:r w:rsidRPr="00373DC2">
        <w:rPr>
          <w:rFonts w:cstheme="minorHAnsi"/>
        </w:rPr>
        <w:t xml:space="preserve">gegenüber der Situation vor der Förderung führen. Dies muss durch Elektrifizierung der Produktionsprozesse oder durch die Umstellung auf die Nutzung von erneuerbarem und strombasiertem Wasserstoff oder von aus erneuerbarem Wasserstoff gewonnenen Brennstoffen als Ersatz für fossile Brennstoffe erreicht werden. </w:t>
      </w:r>
    </w:p>
    <w:p w14:paraId="3C14AFA3" w14:textId="4F3887DD" w:rsidR="00DB33A0" w:rsidRPr="00373DC2" w:rsidRDefault="00DB33A0" w:rsidP="00AA3131">
      <w:pPr>
        <w:pStyle w:val="Listenabsatz"/>
        <w:numPr>
          <w:ilvl w:val="0"/>
          <w:numId w:val="10"/>
        </w:numPr>
        <w:spacing w:line="240" w:lineRule="auto"/>
        <w:ind w:hanging="357"/>
        <w:contextualSpacing w:val="0"/>
        <w:rPr>
          <w:rFonts w:cstheme="minorHAnsi"/>
        </w:rPr>
      </w:pPr>
      <w:r w:rsidRPr="00373DC2">
        <w:rPr>
          <w:rFonts w:cstheme="minorHAnsi"/>
        </w:rPr>
        <w:t xml:space="preserve">Investitionsvorhaben im Zusammenhang mit Tätigkeiten, die unter das Emissionshandelssystem (EHS) </w:t>
      </w:r>
      <w:r w:rsidR="003D6061" w:rsidRPr="00373DC2">
        <w:rPr>
          <w:rFonts w:cstheme="minorHAnsi"/>
        </w:rPr>
        <w:t xml:space="preserve">nach Anhang 1 der Richtlinie 2003/87 </w:t>
      </w:r>
      <w:r w:rsidRPr="00373DC2">
        <w:rPr>
          <w:rFonts w:cstheme="minorHAnsi"/>
        </w:rPr>
        <w:t xml:space="preserve">fallen, sind nur förderfähig, wenn die Beihilfe dazu führt, dass die Treibhausgasemissionen der geförderten Anlage </w:t>
      </w:r>
      <w:r w:rsidR="00CA4434" w:rsidRPr="00373DC2">
        <w:rPr>
          <w:rFonts w:cstheme="minorHAnsi"/>
        </w:rPr>
        <w:t xml:space="preserve">bzw. Prozessschritte </w:t>
      </w:r>
      <w:r w:rsidRPr="00373DC2">
        <w:rPr>
          <w:rFonts w:cstheme="minorHAnsi"/>
        </w:rPr>
        <w:t xml:space="preserve">unter die einschlägigen Benchmarkwerte für die kostenlose Zuteilung gemäß der Durchführungsverordnung (EU) 2021/447 der </w:t>
      </w:r>
      <w:r w:rsidR="0034465B" w:rsidRPr="00373DC2">
        <w:rPr>
          <w:rFonts w:cstheme="minorHAnsi"/>
          <w:color w:val="000000" w:themeColor="text1"/>
        </w:rPr>
        <w:t>Europäischen Kommission</w:t>
      </w:r>
      <w:r w:rsidRPr="00373DC2">
        <w:rPr>
          <w:rFonts w:cstheme="minorHAnsi"/>
        </w:rPr>
        <w:t xml:space="preserve"> sinken.</w:t>
      </w:r>
    </w:p>
    <w:p w14:paraId="09453631" w14:textId="0DD28E7C" w:rsidR="000D2B07" w:rsidRPr="00373DC2" w:rsidRDefault="000D2B07" w:rsidP="00AA3131">
      <w:pPr>
        <w:pStyle w:val="Listenabsatz"/>
        <w:numPr>
          <w:ilvl w:val="0"/>
          <w:numId w:val="10"/>
        </w:numPr>
        <w:spacing w:line="240" w:lineRule="auto"/>
        <w:ind w:hanging="357"/>
        <w:contextualSpacing w:val="0"/>
        <w:rPr>
          <w:rFonts w:cstheme="minorHAnsi"/>
        </w:rPr>
      </w:pPr>
      <w:r w:rsidRPr="00373DC2">
        <w:rPr>
          <w:rFonts w:cstheme="minorHAnsi"/>
        </w:rPr>
        <w:lastRenderedPageBreak/>
        <w:t xml:space="preserve">Investitionsvorhaben zur Nutzung von Wasserstoff werden nur gefördert, wenn dieser erneuerbar oder strombasiert ist. </w:t>
      </w:r>
    </w:p>
    <w:p w14:paraId="7D4E72BA" w14:textId="28F64391" w:rsidR="000D2B07" w:rsidRPr="00373DC2" w:rsidRDefault="000D2B07" w:rsidP="00AA3131">
      <w:pPr>
        <w:pStyle w:val="Listenabsatz"/>
        <w:numPr>
          <w:ilvl w:val="0"/>
          <w:numId w:val="10"/>
        </w:numPr>
        <w:spacing w:line="240" w:lineRule="auto"/>
        <w:ind w:hanging="357"/>
        <w:contextualSpacing w:val="0"/>
        <w:rPr>
          <w:rFonts w:cstheme="minorHAnsi"/>
        </w:rPr>
      </w:pPr>
      <w:r w:rsidRPr="00373DC2">
        <w:rPr>
          <w:rFonts w:cstheme="minorHAnsi"/>
        </w:rPr>
        <w:t>Investitionsvorhaben zur Nutzung von aus Wasserstoff gewonnenen Brennstoffen werden nur gefördert, wenn es sich um flüssige und gasförmige Brennstoffe handelt, die aus erneuerbarem Wasserstoff gewonnen werden und deren Energiegehalt aus erneuerbaren Energiequellen mit Ausnahme von Biomasse stammt, und sie im Einklang mit den Methoden hergestellt wurden, die in der Richtlinie (EU) 2018/2001 und den zugehörigen Durchführungsrechtsakten bzw. delegierten Rechtsakten für flüssige oder gasförmige erneuerbare Kraftstoffe nicht biogenen Ursprungs festgelegt sind. Sie müssen über den Lebenszyklus eine THG-</w:t>
      </w:r>
      <w:r w:rsidR="00BA133B" w:rsidRPr="00373DC2">
        <w:rPr>
          <w:rFonts w:cstheme="minorHAnsi"/>
        </w:rPr>
        <w:t>E</w:t>
      </w:r>
      <w:r w:rsidRPr="00373DC2">
        <w:rPr>
          <w:rFonts w:cstheme="minorHAnsi"/>
        </w:rPr>
        <w:t>missionseinsparung von mindestens 70 % gegenüber dem Vergleichswert für fossile Brennstoffe von 94 Gramm CO</w:t>
      </w:r>
      <w:r w:rsidRPr="00373DC2">
        <w:rPr>
          <w:rFonts w:cstheme="minorHAnsi"/>
          <w:vertAlign w:val="subscript"/>
        </w:rPr>
        <w:t>2</w:t>
      </w:r>
      <w:r w:rsidRPr="00373DC2">
        <w:rPr>
          <w:rFonts w:cstheme="minorHAnsi"/>
        </w:rPr>
        <w:t>-Äquivalent</w:t>
      </w:r>
      <w:r w:rsidR="00AC6005" w:rsidRPr="00373DC2">
        <w:rPr>
          <w:rFonts w:cstheme="minorHAnsi"/>
        </w:rPr>
        <w:t>/</w:t>
      </w:r>
      <w:r w:rsidRPr="00373DC2">
        <w:rPr>
          <w:rFonts w:cstheme="minorHAnsi"/>
        </w:rPr>
        <w:t>M</w:t>
      </w:r>
      <w:r w:rsidR="00AC6005" w:rsidRPr="00373DC2">
        <w:rPr>
          <w:rFonts w:cstheme="minorHAnsi"/>
        </w:rPr>
        <w:t>J</w:t>
      </w:r>
      <w:r w:rsidRPr="00373DC2">
        <w:rPr>
          <w:rFonts w:cstheme="minorHAnsi"/>
        </w:rPr>
        <w:t xml:space="preserve"> ermöglichen. </w:t>
      </w:r>
    </w:p>
    <w:p w14:paraId="048254DA" w14:textId="00D7A301" w:rsidR="008A32E2" w:rsidRPr="00373DC2" w:rsidRDefault="000D2B07" w:rsidP="00AA3131">
      <w:pPr>
        <w:pStyle w:val="Listenabsatz"/>
        <w:numPr>
          <w:ilvl w:val="0"/>
          <w:numId w:val="10"/>
        </w:numPr>
        <w:spacing w:line="240" w:lineRule="auto"/>
        <w:ind w:hanging="357"/>
        <w:contextualSpacing w:val="0"/>
        <w:rPr>
          <w:rFonts w:cstheme="minorHAnsi"/>
        </w:rPr>
      </w:pPr>
      <w:r w:rsidRPr="00373DC2">
        <w:rPr>
          <w:rFonts w:cstheme="minorHAnsi"/>
        </w:rPr>
        <w:t>Nach Teilmodul 2 geförderte Vorhaben sind innerhalb von drei Jahren nach Gewährung</w:t>
      </w:r>
      <w:r w:rsidR="00AC6005" w:rsidRPr="00373DC2">
        <w:rPr>
          <w:rFonts w:cstheme="minorHAnsi"/>
        </w:rPr>
        <w:t xml:space="preserve"> der Förderung</w:t>
      </w:r>
      <w:r w:rsidRPr="00373DC2">
        <w:rPr>
          <w:rFonts w:cstheme="minorHAnsi"/>
        </w:rPr>
        <w:t xml:space="preserve"> fertigzustellen und in Betrieb zu nehmen. </w:t>
      </w:r>
      <w:r w:rsidR="008771E8">
        <w:rPr>
          <w:rFonts w:cstheme="minorHAnsi"/>
        </w:rPr>
        <w:t>Bei Fristüberschreitung wird die Bewilligungsbehörde wirksame Sanktionen verhängen.</w:t>
      </w:r>
    </w:p>
    <w:bookmarkEnd w:id="27"/>
    <w:p w14:paraId="1A9AF142" w14:textId="25E9F8A4" w:rsidR="00C41A96" w:rsidRPr="00373DC2" w:rsidRDefault="00C41A96" w:rsidP="00504AB3">
      <w:pPr>
        <w:spacing w:before="240" w:line="240" w:lineRule="auto"/>
        <w:rPr>
          <w:rFonts w:cstheme="minorHAnsi"/>
          <w:b/>
        </w:rPr>
      </w:pPr>
      <w:r w:rsidRPr="00373DC2">
        <w:rPr>
          <w:rFonts w:cstheme="minorHAnsi"/>
          <w:b/>
        </w:rPr>
        <w:t>5.</w:t>
      </w:r>
      <w:r w:rsidR="00745B78">
        <w:rPr>
          <w:rFonts w:cstheme="minorHAnsi"/>
          <w:b/>
        </w:rPr>
        <w:t>3</w:t>
      </w:r>
      <w:r w:rsidRPr="00373DC2">
        <w:rPr>
          <w:rFonts w:cstheme="minorHAnsi"/>
          <w:b/>
        </w:rPr>
        <w:t>.3 Teilmodul 3</w:t>
      </w:r>
    </w:p>
    <w:p w14:paraId="267D9C86" w14:textId="537EE79F" w:rsidR="00D401A3" w:rsidRPr="00373DC2" w:rsidRDefault="00D401A3" w:rsidP="00AA3131">
      <w:pPr>
        <w:pStyle w:val="Listenabsatz"/>
        <w:numPr>
          <w:ilvl w:val="0"/>
          <w:numId w:val="11"/>
        </w:numPr>
        <w:spacing w:line="240" w:lineRule="auto"/>
        <w:contextualSpacing w:val="0"/>
        <w:rPr>
          <w:rFonts w:cstheme="minorHAnsi"/>
        </w:rPr>
      </w:pPr>
      <w:r w:rsidRPr="00373DC2">
        <w:rPr>
          <w:rFonts w:cstheme="minorHAnsi"/>
        </w:rPr>
        <w:t>Im</w:t>
      </w:r>
      <w:r w:rsidR="00C41A96" w:rsidRPr="00373DC2">
        <w:rPr>
          <w:rFonts w:cstheme="minorHAnsi"/>
        </w:rPr>
        <w:t xml:space="preserve"> Teilmodul 3 sind Forschungs- und Entwicklungsvorhabens förderfähig, die im Erfolgsfall Technologien hervorbringen, die in einem nach den Teilmodulen 1 </w:t>
      </w:r>
      <w:r w:rsidRPr="00373DC2">
        <w:rPr>
          <w:rFonts w:cstheme="minorHAnsi"/>
        </w:rPr>
        <w:t>oder</w:t>
      </w:r>
      <w:r w:rsidR="00C41A96" w:rsidRPr="00373DC2">
        <w:rPr>
          <w:rFonts w:cstheme="minorHAnsi"/>
        </w:rPr>
        <w:t xml:space="preserve"> 2 förderfähige</w:t>
      </w:r>
      <w:r w:rsidRPr="00373DC2">
        <w:rPr>
          <w:rFonts w:cstheme="minorHAnsi"/>
        </w:rPr>
        <w:t>n</w:t>
      </w:r>
      <w:r w:rsidR="00C41A96" w:rsidRPr="00373DC2">
        <w:rPr>
          <w:rFonts w:cstheme="minorHAnsi"/>
        </w:rPr>
        <w:t xml:space="preserve"> Vorhaben eingesetzt werden könnten. </w:t>
      </w:r>
    </w:p>
    <w:p w14:paraId="4D7B5048" w14:textId="09FC1350" w:rsidR="00C41A96" w:rsidRPr="00373DC2" w:rsidRDefault="00C41A96" w:rsidP="00AA3131">
      <w:pPr>
        <w:pStyle w:val="Listenabsatz"/>
        <w:numPr>
          <w:ilvl w:val="0"/>
          <w:numId w:val="11"/>
        </w:numPr>
        <w:spacing w:line="240" w:lineRule="auto"/>
        <w:contextualSpacing w:val="0"/>
        <w:rPr>
          <w:rFonts w:cstheme="minorHAnsi"/>
        </w:rPr>
      </w:pPr>
      <w:r w:rsidRPr="00373DC2">
        <w:rPr>
          <w:rFonts w:cstheme="minorHAnsi"/>
        </w:rPr>
        <w:t xml:space="preserve">Der geförderte Teil des Vorhabens muss vollständig einer oder mehreren der folgenden Kategorien zuzuordnen sein: </w:t>
      </w:r>
    </w:p>
    <w:p w14:paraId="0EC3B5CC" w14:textId="05F70F8E" w:rsidR="00C41A96" w:rsidRPr="00373DC2" w:rsidRDefault="00C41A96" w:rsidP="00FF125D">
      <w:pPr>
        <w:pStyle w:val="Listenabsatz"/>
        <w:numPr>
          <w:ilvl w:val="0"/>
          <w:numId w:val="45"/>
        </w:numPr>
        <w:spacing w:line="240" w:lineRule="auto"/>
        <w:contextualSpacing w:val="0"/>
        <w:rPr>
          <w:rFonts w:cstheme="minorHAnsi"/>
        </w:rPr>
      </w:pPr>
      <w:r w:rsidRPr="00373DC2">
        <w:rPr>
          <w:rFonts w:cstheme="minorHAnsi"/>
        </w:rPr>
        <w:t>industrielle Forschung</w:t>
      </w:r>
      <w:r w:rsidR="009506DB" w:rsidRPr="00373DC2">
        <w:rPr>
          <w:rFonts w:cstheme="minorHAnsi"/>
        </w:rPr>
        <w:t xml:space="preserve"> entsprechend Art. 2 Nr. 85 AGVO</w:t>
      </w:r>
      <w:r w:rsidRPr="00373DC2">
        <w:rPr>
          <w:rFonts w:cstheme="minorHAnsi"/>
        </w:rPr>
        <w:t xml:space="preserve">, </w:t>
      </w:r>
    </w:p>
    <w:p w14:paraId="05220C35" w14:textId="7EAD98AA" w:rsidR="00C41A96" w:rsidRPr="00373DC2" w:rsidRDefault="00C41A96" w:rsidP="00FF125D">
      <w:pPr>
        <w:pStyle w:val="Listenabsatz"/>
        <w:numPr>
          <w:ilvl w:val="0"/>
          <w:numId w:val="45"/>
        </w:numPr>
        <w:spacing w:line="240" w:lineRule="auto"/>
        <w:contextualSpacing w:val="0"/>
        <w:rPr>
          <w:rFonts w:cstheme="minorHAnsi"/>
        </w:rPr>
      </w:pPr>
      <w:r w:rsidRPr="00373DC2">
        <w:rPr>
          <w:rFonts w:cstheme="minorHAnsi"/>
        </w:rPr>
        <w:t>experimentelle Entwicklung</w:t>
      </w:r>
      <w:r w:rsidR="009506DB" w:rsidRPr="00373DC2">
        <w:rPr>
          <w:rFonts w:cstheme="minorHAnsi"/>
        </w:rPr>
        <w:t xml:space="preserve"> entsprechend Art. 2 Nr. 86 AGVO</w:t>
      </w:r>
      <w:r w:rsidRPr="00373DC2">
        <w:rPr>
          <w:rFonts w:cstheme="minorHAnsi"/>
        </w:rPr>
        <w:t xml:space="preserve">, </w:t>
      </w:r>
    </w:p>
    <w:p w14:paraId="063B1078" w14:textId="0BF489E3" w:rsidR="00C41A96" w:rsidRPr="00373DC2" w:rsidRDefault="00C41A96" w:rsidP="00FF125D">
      <w:pPr>
        <w:pStyle w:val="Listenabsatz"/>
        <w:numPr>
          <w:ilvl w:val="0"/>
          <w:numId w:val="45"/>
        </w:numPr>
        <w:spacing w:line="240" w:lineRule="auto"/>
        <w:contextualSpacing w:val="0"/>
        <w:rPr>
          <w:rFonts w:cstheme="minorHAnsi"/>
        </w:rPr>
      </w:pPr>
      <w:r w:rsidRPr="00373DC2">
        <w:rPr>
          <w:rFonts w:cstheme="minorHAnsi"/>
        </w:rPr>
        <w:t>projektbezogene Durchführbarkeitsstudien</w:t>
      </w:r>
      <w:r w:rsidR="009506DB" w:rsidRPr="00373DC2">
        <w:rPr>
          <w:rFonts w:cstheme="minorHAnsi"/>
        </w:rPr>
        <w:t xml:space="preserve"> entsprechend Art. 2 Nr. 87 AGVO</w:t>
      </w:r>
      <w:r w:rsidRPr="00373DC2">
        <w:rPr>
          <w:rFonts w:cstheme="minorHAnsi"/>
        </w:rPr>
        <w:t>.</w:t>
      </w:r>
    </w:p>
    <w:p w14:paraId="32350AD4" w14:textId="4F681620" w:rsidR="00C41A96" w:rsidRPr="00373DC2" w:rsidRDefault="004F19BA" w:rsidP="00AA3131">
      <w:pPr>
        <w:pStyle w:val="Listenabsatz"/>
        <w:numPr>
          <w:ilvl w:val="0"/>
          <w:numId w:val="11"/>
        </w:numPr>
        <w:spacing w:line="240" w:lineRule="auto"/>
        <w:contextualSpacing w:val="0"/>
        <w:rPr>
          <w:rFonts w:cstheme="minorHAnsi"/>
        </w:rPr>
      </w:pPr>
      <w:r w:rsidRPr="00373DC2">
        <w:rPr>
          <w:rFonts w:cstheme="minorHAnsi"/>
        </w:rPr>
        <w:t>Wir</w:t>
      </w:r>
      <w:r w:rsidR="00FB1634" w:rsidRPr="00373DC2">
        <w:rPr>
          <w:rFonts w:cstheme="minorHAnsi"/>
        </w:rPr>
        <w:t>d</w:t>
      </w:r>
      <w:r w:rsidRPr="00373DC2">
        <w:rPr>
          <w:rFonts w:cstheme="minorHAnsi"/>
        </w:rPr>
        <w:t xml:space="preserve"> in dem Vorhaben Wasserstoff eingesetzt</w:t>
      </w:r>
      <w:r w:rsidR="00FB1634" w:rsidRPr="00373DC2">
        <w:rPr>
          <w:rFonts w:cstheme="minorHAnsi"/>
        </w:rPr>
        <w:t>,</w:t>
      </w:r>
      <w:r w:rsidRPr="00373DC2">
        <w:rPr>
          <w:rFonts w:cstheme="minorHAnsi"/>
        </w:rPr>
        <w:t xml:space="preserve"> gelten hierfür die Vorgaben entsprechend Teilmodul 1.</w:t>
      </w:r>
    </w:p>
    <w:p w14:paraId="07A8FD1D" w14:textId="1BF478E8" w:rsidR="00AF1E92" w:rsidRPr="00373DC2" w:rsidRDefault="00C9572E" w:rsidP="00504AB3">
      <w:pPr>
        <w:spacing w:line="240" w:lineRule="auto"/>
        <w:rPr>
          <w:rFonts w:cstheme="minorHAnsi"/>
          <w:b/>
        </w:rPr>
      </w:pPr>
      <w:r w:rsidRPr="00373DC2">
        <w:rPr>
          <w:rFonts w:cstheme="minorHAnsi"/>
          <w:b/>
        </w:rPr>
        <w:t>5</w:t>
      </w:r>
      <w:r w:rsidR="00AF1E92" w:rsidRPr="00373DC2">
        <w:rPr>
          <w:rFonts w:cstheme="minorHAnsi"/>
          <w:b/>
        </w:rPr>
        <w:t>.</w:t>
      </w:r>
      <w:r w:rsidR="00745B78">
        <w:rPr>
          <w:rFonts w:cstheme="minorHAnsi"/>
          <w:b/>
        </w:rPr>
        <w:t>4</w:t>
      </w:r>
      <w:r w:rsidR="00AF1E92" w:rsidRPr="00373DC2">
        <w:rPr>
          <w:rFonts w:cstheme="minorHAnsi"/>
          <w:b/>
        </w:rPr>
        <w:t xml:space="preserve"> </w:t>
      </w:r>
      <w:bookmarkStart w:id="28" w:name="_Hlk146034690"/>
      <w:r w:rsidR="00AF1E92" w:rsidRPr="00373DC2">
        <w:rPr>
          <w:rFonts w:cstheme="minorHAnsi"/>
          <w:b/>
        </w:rPr>
        <w:t>Zuwendungsempfänger</w:t>
      </w:r>
      <w:bookmarkEnd w:id="28"/>
    </w:p>
    <w:p w14:paraId="1100638D" w14:textId="08F45F16" w:rsidR="002B677E" w:rsidRPr="00373DC2" w:rsidRDefault="002B677E" w:rsidP="008771E8">
      <w:pPr>
        <w:pStyle w:val="Textkrper"/>
        <w:numPr>
          <w:ilvl w:val="0"/>
          <w:numId w:val="65"/>
        </w:numPr>
        <w:spacing w:line="240" w:lineRule="auto"/>
        <w:rPr>
          <w:rFonts w:cstheme="minorHAnsi"/>
        </w:rPr>
      </w:pPr>
      <w:r w:rsidRPr="00373DC2">
        <w:rPr>
          <w:rFonts w:cstheme="minorHAnsi"/>
        </w:rPr>
        <w:t xml:space="preserve">Antragsberechtigt sind Unternehmen, die Anlagen </w:t>
      </w:r>
      <w:r w:rsidR="004F19BA" w:rsidRPr="00373DC2">
        <w:rPr>
          <w:rFonts w:cstheme="minorHAnsi"/>
        </w:rPr>
        <w:t xml:space="preserve">zur Durchführung von </w:t>
      </w:r>
      <w:r w:rsidR="00376334" w:rsidRPr="00373DC2">
        <w:rPr>
          <w:rFonts w:cstheme="minorHAnsi"/>
        </w:rPr>
        <w:t>industriellen</w:t>
      </w:r>
      <w:r w:rsidRPr="00373DC2">
        <w:rPr>
          <w:rFonts w:cstheme="minorHAnsi"/>
        </w:rPr>
        <w:t xml:space="preserve"> </w:t>
      </w:r>
      <w:r w:rsidR="004F19BA" w:rsidRPr="00373DC2">
        <w:rPr>
          <w:rFonts w:cstheme="minorHAnsi"/>
        </w:rPr>
        <w:t xml:space="preserve">Prozessen </w:t>
      </w:r>
      <w:r w:rsidRPr="00373DC2">
        <w:rPr>
          <w:rFonts w:cstheme="minorHAnsi"/>
        </w:rPr>
        <w:t xml:space="preserve">planen oder betreiben, sowie Konsortien. Ein Konsortium besteht aus mehreren antragsberechtigten Unternehmen. </w:t>
      </w:r>
    </w:p>
    <w:p w14:paraId="64A323CB" w14:textId="21F08265" w:rsidR="002B677E" w:rsidRPr="00373DC2" w:rsidRDefault="002B677E" w:rsidP="008771E8">
      <w:pPr>
        <w:pStyle w:val="Textkrper"/>
        <w:numPr>
          <w:ilvl w:val="0"/>
          <w:numId w:val="65"/>
        </w:numPr>
        <w:spacing w:line="240" w:lineRule="auto"/>
        <w:rPr>
          <w:rFonts w:cstheme="minorHAnsi"/>
        </w:rPr>
      </w:pPr>
      <w:r w:rsidRPr="00373DC2">
        <w:rPr>
          <w:rFonts w:cstheme="minorHAnsi"/>
        </w:rPr>
        <w:t xml:space="preserve">Bei Forschungs- und Entwicklungsvorhaben nach Teilmodul 3 kann ein Konsortium auch aus mehreren Unternehmen bestehen, von denen mindestens eins einer </w:t>
      </w:r>
      <w:r w:rsidR="00526324" w:rsidRPr="00373DC2">
        <w:rPr>
          <w:rFonts w:cstheme="minorHAnsi"/>
        </w:rPr>
        <w:t>nach Absatz 1</w:t>
      </w:r>
      <w:r w:rsidRPr="00373DC2">
        <w:rPr>
          <w:rFonts w:cstheme="minorHAnsi"/>
        </w:rPr>
        <w:t xml:space="preserve"> genannten Tätigkeit nachgeht und die Ergebnisse industriell in einer Produktionsstätte in Deutschland anwenden will. </w:t>
      </w:r>
    </w:p>
    <w:p w14:paraId="68239CB3" w14:textId="0CCF2125" w:rsidR="002B677E" w:rsidRPr="00373DC2" w:rsidRDefault="002B677E" w:rsidP="008771E8">
      <w:pPr>
        <w:pStyle w:val="Textkrper"/>
        <w:numPr>
          <w:ilvl w:val="0"/>
          <w:numId w:val="65"/>
        </w:numPr>
        <w:spacing w:line="240" w:lineRule="auto"/>
        <w:rPr>
          <w:rFonts w:cstheme="minorHAnsi"/>
        </w:rPr>
      </w:pPr>
      <w:r w:rsidRPr="00373DC2">
        <w:rPr>
          <w:rFonts w:cstheme="minorHAnsi"/>
        </w:rPr>
        <w:t xml:space="preserve">Innerhalb des Konsortiums ist ein Unternehmen zu bestimmen, welches den </w:t>
      </w:r>
      <w:r w:rsidR="007C7D21">
        <w:rPr>
          <w:rFonts w:cstheme="minorHAnsi"/>
        </w:rPr>
        <w:t>Dach-</w:t>
      </w:r>
      <w:r w:rsidRPr="00373DC2">
        <w:rPr>
          <w:rFonts w:cstheme="minorHAnsi"/>
        </w:rPr>
        <w:t>Antrag stellt (Konsortialführer) und für das Konsortium zustellungsbevollmächtigt ist. Jedes Mitglied des Konsortiums wird Zuwendungsempfänger</w:t>
      </w:r>
      <w:r w:rsidR="00D26DFE">
        <w:rPr>
          <w:rFonts w:cstheme="minorHAnsi"/>
        </w:rPr>
        <w:t xml:space="preserve"> und reicht</w:t>
      </w:r>
      <w:r w:rsidR="007C7D21" w:rsidRPr="00373DC2">
        <w:rPr>
          <w:rFonts w:cstheme="minorHAnsi"/>
        </w:rPr>
        <w:t xml:space="preserve"> einen separaten Antrag ein</w:t>
      </w:r>
      <w:r w:rsidRPr="00373DC2">
        <w:rPr>
          <w:rFonts w:cstheme="minorHAnsi"/>
        </w:rPr>
        <w:t xml:space="preserve">. Für ein Konsortium werden Emissionen aller beteiligten Mitglieder des Konsortiums als gemeinsame Emissionen betrachtet und die Produkte der gesamten Wertschöpfungskette im Konsortium als gemeinsames Endprodukt. </w:t>
      </w:r>
    </w:p>
    <w:p w14:paraId="393F647B" w14:textId="4725D9C8" w:rsidR="002B677E" w:rsidRPr="00373DC2" w:rsidRDefault="002B677E" w:rsidP="008771E8">
      <w:pPr>
        <w:pStyle w:val="Textkrper"/>
        <w:numPr>
          <w:ilvl w:val="0"/>
          <w:numId w:val="65"/>
        </w:numPr>
        <w:spacing w:line="240" w:lineRule="auto"/>
        <w:rPr>
          <w:rFonts w:cstheme="minorHAnsi"/>
        </w:rPr>
      </w:pPr>
      <w:r w:rsidRPr="00373DC2">
        <w:rPr>
          <w:rFonts w:cstheme="minorHAnsi"/>
        </w:rPr>
        <w:t xml:space="preserve">Zuwendungsempfänger müssen eine Betriebsstätte oder Niederlassung in Deutschland haben. </w:t>
      </w:r>
      <w:r w:rsidR="00F03541" w:rsidRPr="00373DC2">
        <w:rPr>
          <w:rFonts w:cstheme="minorHAnsi"/>
        </w:rPr>
        <w:t>Vorhaben</w:t>
      </w:r>
      <w:r w:rsidRPr="00373DC2">
        <w:rPr>
          <w:rFonts w:cstheme="minorHAnsi"/>
        </w:rPr>
        <w:t xml:space="preserve">, für die eine Förderung beantragt wird, müssen auf dem Gebiet der Bundesrepublik Deutschland umgesetzt werden. Bei grenzüberschreitenden </w:t>
      </w:r>
      <w:r w:rsidR="00F03541" w:rsidRPr="00373DC2">
        <w:rPr>
          <w:rFonts w:cstheme="minorHAnsi"/>
        </w:rPr>
        <w:t>Vorhaben</w:t>
      </w:r>
      <w:r w:rsidRPr="00373DC2">
        <w:rPr>
          <w:rFonts w:cstheme="minorHAnsi"/>
        </w:rPr>
        <w:t xml:space="preserve"> sind nur die in Deutschland geplanten Investitionen förderfähig.</w:t>
      </w:r>
    </w:p>
    <w:p w14:paraId="4FFE9A46" w14:textId="1220B85B" w:rsidR="002B677E" w:rsidRPr="00373DC2" w:rsidRDefault="002B677E" w:rsidP="008771E8">
      <w:pPr>
        <w:pStyle w:val="Textkrper"/>
        <w:numPr>
          <w:ilvl w:val="0"/>
          <w:numId w:val="65"/>
        </w:numPr>
        <w:spacing w:line="240" w:lineRule="auto"/>
        <w:rPr>
          <w:rFonts w:cstheme="minorHAnsi"/>
        </w:rPr>
      </w:pPr>
      <w:r w:rsidRPr="00373DC2">
        <w:rPr>
          <w:rFonts w:cstheme="minorHAnsi"/>
        </w:rPr>
        <w:lastRenderedPageBreak/>
        <w:t xml:space="preserve">Der Zuwendungsempfänger muss schriftlich bestätigen, dass er in der Lage ist, den gesamten Eigenanteil an den zuwendungsfähigen und nicht zuwendungsfähigen Kosten der geförderten </w:t>
      </w:r>
      <w:r w:rsidR="00F03541" w:rsidRPr="00373DC2">
        <w:rPr>
          <w:rFonts w:cstheme="minorHAnsi"/>
        </w:rPr>
        <w:t>Vorhaben</w:t>
      </w:r>
      <w:r w:rsidRPr="00373DC2">
        <w:rPr>
          <w:rFonts w:cstheme="minorHAnsi"/>
        </w:rPr>
        <w:t xml:space="preserve"> zu tragen.</w:t>
      </w:r>
    </w:p>
    <w:p w14:paraId="7571563A" w14:textId="0BC4E3FE" w:rsidR="002B677E" w:rsidRPr="00373DC2" w:rsidRDefault="002B677E" w:rsidP="008771E8">
      <w:pPr>
        <w:pStyle w:val="Textkrper"/>
        <w:numPr>
          <w:ilvl w:val="0"/>
          <w:numId w:val="65"/>
        </w:numPr>
        <w:spacing w:line="240" w:lineRule="auto"/>
        <w:rPr>
          <w:rFonts w:cstheme="minorHAnsi"/>
        </w:rPr>
      </w:pPr>
      <w:r w:rsidRPr="00373DC2">
        <w:rPr>
          <w:rFonts w:cstheme="minorHAnsi"/>
        </w:rPr>
        <w:t>Zur Umsetzung der Vorhaben − insbesondere der Begleitforschung − können Hochschulen, Universitäten und andere Forschungseinrichtungen unter Leitung eines antragsberechtigten Unternehmens als Projektpartner eingebunden werden.</w:t>
      </w:r>
    </w:p>
    <w:p w14:paraId="005D62C3" w14:textId="01373926" w:rsidR="00AF1E92" w:rsidRPr="00373DC2" w:rsidRDefault="00C9572E" w:rsidP="00373DC2">
      <w:pPr>
        <w:spacing w:line="240" w:lineRule="auto"/>
        <w:rPr>
          <w:rFonts w:cstheme="minorHAnsi"/>
          <w:b/>
        </w:rPr>
      </w:pPr>
      <w:r w:rsidRPr="00373DC2">
        <w:rPr>
          <w:rFonts w:cstheme="minorHAnsi"/>
          <w:b/>
        </w:rPr>
        <w:t>5</w:t>
      </w:r>
      <w:r w:rsidR="00AF1E92" w:rsidRPr="00373DC2">
        <w:rPr>
          <w:rFonts w:cstheme="minorHAnsi"/>
          <w:b/>
        </w:rPr>
        <w:t>.</w:t>
      </w:r>
      <w:r w:rsidR="00745B78">
        <w:rPr>
          <w:rFonts w:cstheme="minorHAnsi"/>
          <w:b/>
        </w:rPr>
        <w:t>5</w:t>
      </w:r>
      <w:r w:rsidR="00AF1E92" w:rsidRPr="00373DC2">
        <w:rPr>
          <w:rFonts w:cstheme="minorHAnsi"/>
          <w:b/>
        </w:rPr>
        <w:t xml:space="preserve"> </w:t>
      </w:r>
      <w:bookmarkStart w:id="29" w:name="_Hlk146034697"/>
      <w:r w:rsidR="00AF1E92" w:rsidRPr="00373DC2">
        <w:rPr>
          <w:rFonts w:cstheme="minorHAnsi"/>
          <w:b/>
        </w:rPr>
        <w:t xml:space="preserve">Höhe der Zuwendung </w:t>
      </w:r>
      <w:bookmarkEnd w:id="29"/>
    </w:p>
    <w:p w14:paraId="50E47C34" w14:textId="3E981CD4" w:rsidR="00896843" w:rsidRPr="00373DC2" w:rsidRDefault="00C9572E" w:rsidP="00373DC2">
      <w:pPr>
        <w:spacing w:line="240" w:lineRule="auto"/>
        <w:rPr>
          <w:rFonts w:cstheme="minorHAnsi"/>
        </w:rPr>
      </w:pPr>
      <w:r w:rsidRPr="00373DC2">
        <w:rPr>
          <w:rFonts w:cstheme="minorHAnsi"/>
          <w:b/>
        </w:rPr>
        <w:t>5</w:t>
      </w:r>
      <w:r w:rsidR="00896843" w:rsidRPr="00373DC2">
        <w:rPr>
          <w:rFonts w:cstheme="minorHAnsi"/>
          <w:b/>
        </w:rPr>
        <w:t>.</w:t>
      </w:r>
      <w:r w:rsidR="00745B78">
        <w:rPr>
          <w:rFonts w:cstheme="minorHAnsi"/>
          <w:b/>
        </w:rPr>
        <w:t>5</w:t>
      </w:r>
      <w:r w:rsidR="00896843" w:rsidRPr="00373DC2">
        <w:rPr>
          <w:rFonts w:cstheme="minorHAnsi"/>
          <w:b/>
        </w:rPr>
        <w:t>.1. Teilmodul 1</w:t>
      </w:r>
    </w:p>
    <w:p w14:paraId="4D86B0E8" w14:textId="46BB34B4" w:rsidR="004C7336" w:rsidRPr="00373DC2" w:rsidRDefault="001E02AE" w:rsidP="00FF125D">
      <w:pPr>
        <w:pStyle w:val="Listenabsatz"/>
        <w:numPr>
          <w:ilvl w:val="0"/>
          <w:numId w:val="23"/>
        </w:numPr>
        <w:spacing w:line="240" w:lineRule="auto"/>
        <w:contextualSpacing w:val="0"/>
        <w:rPr>
          <w:rFonts w:cstheme="minorHAnsi"/>
        </w:rPr>
      </w:pPr>
      <w:r w:rsidRPr="00373DC2">
        <w:rPr>
          <w:rFonts w:cstheme="minorHAnsi"/>
        </w:rPr>
        <w:t xml:space="preserve">Im Teilmodul </w:t>
      </w:r>
      <w:r w:rsidR="004F19BA" w:rsidRPr="00373DC2">
        <w:rPr>
          <w:rFonts w:cstheme="minorHAnsi"/>
        </w:rPr>
        <w:t>1</w:t>
      </w:r>
      <w:r w:rsidRPr="00373DC2">
        <w:rPr>
          <w:rFonts w:cstheme="minorHAnsi"/>
        </w:rPr>
        <w:t xml:space="preserve"> </w:t>
      </w:r>
      <w:r w:rsidR="004D787F" w:rsidRPr="00373DC2">
        <w:rPr>
          <w:rFonts w:cstheme="minorHAnsi"/>
        </w:rPr>
        <w:t>beträgt die Förderung für</w:t>
      </w:r>
      <w:r w:rsidR="004D787F" w:rsidRPr="00373DC2" w:rsidDel="00FF65B3">
        <w:rPr>
          <w:rFonts w:cstheme="minorHAnsi"/>
        </w:rPr>
        <w:t xml:space="preserve"> </w:t>
      </w:r>
      <w:r w:rsidRPr="00373DC2">
        <w:rPr>
          <w:rFonts w:cstheme="minorHAnsi"/>
        </w:rPr>
        <w:t xml:space="preserve">Investitionsvorhaben bis zu 30 Millionen Euro. Die </w:t>
      </w:r>
      <w:r w:rsidR="000B21CB" w:rsidRPr="00373DC2">
        <w:rPr>
          <w:rFonts w:cstheme="minorHAnsi"/>
        </w:rPr>
        <w:t>Förder</w:t>
      </w:r>
      <w:r w:rsidRPr="00373DC2">
        <w:rPr>
          <w:rFonts w:cstheme="minorHAnsi"/>
        </w:rPr>
        <w:t xml:space="preserve">intensität beträgt </w:t>
      </w:r>
      <w:r w:rsidR="002E467B" w:rsidRPr="00373DC2">
        <w:rPr>
          <w:rFonts w:cstheme="minorHAnsi"/>
        </w:rPr>
        <w:t xml:space="preserve">bis zu </w:t>
      </w:r>
      <w:r w:rsidRPr="00373DC2">
        <w:rPr>
          <w:rFonts w:cstheme="minorHAnsi"/>
        </w:rPr>
        <w:t>40 </w:t>
      </w:r>
      <w:r w:rsidR="00A63819">
        <w:rPr>
          <w:rFonts w:cstheme="minorHAnsi"/>
        </w:rPr>
        <w:t>Prozent</w:t>
      </w:r>
      <w:r w:rsidR="00A63819" w:rsidRPr="00373DC2">
        <w:rPr>
          <w:rFonts w:cstheme="minorHAnsi"/>
        </w:rPr>
        <w:t xml:space="preserve"> </w:t>
      </w:r>
      <w:r w:rsidRPr="00373DC2">
        <w:rPr>
          <w:rFonts w:cstheme="minorHAnsi"/>
        </w:rPr>
        <w:t xml:space="preserve">der </w:t>
      </w:r>
      <w:r w:rsidR="000B21CB" w:rsidRPr="00373DC2">
        <w:rPr>
          <w:rFonts w:cstheme="minorHAnsi"/>
        </w:rPr>
        <w:t>förder</w:t>
      </w:r>
      <w:r w:rsidRPr="00373DC2">
        <w:rPr>
          <w:rFonts w:cstheme="minorHAnsi"/>
        </w:rPr>
        <w:t xml:space="preserve">fähigen Kosten. Führt die Investition, mit Ausnahme von Investitionen, bei denen Biomasse genutzt wird, zu einer </w:t>
      </w:r>
      <w:r w:rsidR="004F19BA" w:rsidRPr="00373DC2">
        <w:rPr>
          <w:rFonts w:cstheme="minorHAnsi"/>
        </w:rPr>
        <w:t>einhundertprozent</w:t>
      </w:r>
      <w:r w:rsidRPr="00373DC2">
        <w:rPr>
          <w:rFonts w:cstheme="minorHAnsi"/>
        </w:rPr>
        <w:t xml:space="preserve">igen Verringerung der direkten Treibhausgasemissionen, beträgt die </w:t>
      </w:r>
      <w:r w:rsidR="000B21CB" w:rsidRPr="00373DC2">
        <w:rPr>
          <w:rFonts w:cstheme="minorHAnsi"/>
        </w:rPr>
        <w:t>Förder</w:t>
      </w:r>
      <w:r w:rsidRPr="00373DC2">
        <w:rPr>
          <w:rFonts w:cstheme="minorHAnsi"/>
        </w:rPr>
        <w:t xml:space="preserve">intensität </w:t>
      </w:r>
      <w:r w:rsidR="002E467B" w:rsidRPr="00373DC2">
        <w:rPr>
          <w:rFonts w:cstheme="minorHAnsi"/>
        </w:rPr>
        <w:t xml:space="preserve">bis zu </w:t>
      </w:r>
      <w:r w:rsidRPr="00373DC2">
        <w:rPr>
          <w:rFonts w:cstheme="minorHAnsi"/>
        </w:rPr>
        <w:t xml:space="preserve">50 %. </w:t>
      </w:r>
    </w:p>
    <w:p w14:paraId="0288DD77" w14:textId="28047199" w:rsidR="003A1CA2" w:rsidRPr="00373DC2" w:rsidRDefault="001E02AE" w:rsidP="00FF125D">
      <w:pPr>
        <w:pStyle w:val="Listenabsatz"/>
        <w:numPr>
          <w:ilvl w:val="0"/>
          <w:numId w:val="23"/>
        </w:numPr>
        <w:spacing w:line="240" w:lineRule="auto"/>
        <w:contextualSpacing w:val="0"/>
        <w:rPr>
          <w:rFonts w:cstheme="minorHAnsi"/>
        </w:rPr>
      </w:pPr>
      <w:r w:rsidRPr="00373DC2">
        <w:rPr>
          <w:rFonts w:cstheme="minorHAnsi"/>
        </w:rPr>
        <w:t>Förder</w:t>
      </w:r>
      <w:r w:rsidR="003A1CA2" w:rsidRPr="00373DC2">
        <w:rPr>
          <w:rFonts w:cstheme="minorHAnsi"/>
        </w:rPr>
        <w:t xml:space="preserve">fähig sind die Investitionsmehrkosten, die anhand eines Vergleichs der Kosten der Investition mit denen des kontrafaktischen Szenarios, d. h. ohne die </w:t>
      </w:r>
      <w:r w:rsidR="000B21CB" w:rsidRPr="00373DC2">
        <w:rPr>
          <w:rFonts w:cstheme="minorHAnsi"/>
        </w:rPr>
        <w:t>Förderung</w:t>
      </w:r>
      <w:r w:rsidR="003A1CA2" w:rsidRPr="00373DC2">
        <w:rPr>
          <w:rFonts w:cstheme="minorHAnsi"/>
        </w:rPr>
        <w:t>, wie folgt ermittelt werden:</w:t>
      </w:r>
    </w:p>
    <w:p w14:paraId="6A8C2EF0" w14:textId="7D98D44E" w:rsidR="00AE4787" w:rsidRPr="00373DC2" w:rsidRDefault="00AE4787" w:rsidP="00FF125D">
      <w:pPr>
        <w:pStyle w:val="Listenabsatz"/>
        <w:numPr>
          <w:ilvl w:val="1"/>
          <w:numId w:val="46"/>
        </w:numPr>
        <w:spacing w:line="240" w:lineRule="auto"/>
        <w:ind w:left="993"/>
        <w:contextualSpacing w:val="0"/>
        <w:rPr>
          <w:rFonts w:cstheme="minorHAnsi"/>
        </w:rPr>
      </w:pPr>
      <w:r w:rsidRPr="00373DC2">
        <w:rPr>
          <w:rFonts w:cstheme="minorHAnsi"/>
        </w:rPr>
        <w:t>Besteht das kontrafaktische Szenario in der Durchführung einer weniger umweltfreundlichen Investition, die der üblichen Geschäftspraxis in dem betreffenden Wirtschaftszweig oder für die betreffende Tätigkeit entspricht, so ergeben sich die förderfähigen Kosten aus der Differenz zwischen den Kosten der durch die Beihilfe geförderten Investition und den Kosten der weniger umweltfreundlichen Investition.</w:t>
      </w:r>
    </w:p>
    <w:p w14:paraId="1EF19890" w14:textId="6B15BEE0" w:rsidR="00AE4787" w:rsidRPr="00373DC2" w:rsidRDefault="00AE4787" w:rsidP="00FF125D">
      <w:pPr>
        <w:pStyle w:val="Listenabsatz"/>
        <w:numPr>
          <w:ilvl w:val="1"/>
          <w:numId w:val="46"/>
        </w:numPr>
        <w:spacing w:line="240" w:lineRule="auto"/>
        <w:ind w:left="993"/>
        <w:contextualSpacing w:val="0"/>
        <w:rPr>
          <w:rFonts w:cstheme="minorHAnsi"/>
        </w:rPr>
      </w:pPr>
      <w:r w:rsidRPr="00373DC2">
        <w:rPr>
          <w:rFonts w:cstheme="minorHAnsi"/>
        </w:rPr>
        <w:t>Besteht das kontrafaktische Szenario darin, dass dieselbe Investition zu einem späteren Zeitpunkt getätigt wird, so ergeben sich die förderfähigen Kosten aus der Differenz zwischen den Kosten der durch die Beihilfe geförderten Investition und dem Kapitalwert der Kosten der späteren Investition, abgezinst auf den Zeitpunkt, zu dem die geförderte Investition getätigt würde.</w:t>
      </w:r>
    </w:p>
    <w:p w14:paraId="35768AF4" w14:textId="3C489208" w:rsidR="00AE4787" w:rsidRPr="00373DC2" w:rsidRDefault="00AE4787" w:rsidP="00FF125D">
      <w:pPr>
        <w:pStyle w:val="Listenabsatz"/>
        <w:numPr>
          <w:ilvl w:val="1"/>
          <w:numId w:val="46"/>
        </w:numPr>
        <w:spacing w:line="240" w:lineRule="auto"/>
        <w:ind w:left="993"/>
        <w:contextualSpacing w:val="0"/>
        <w:rPr>
          <w:rFonts w:cstheme="minorHAnsi"/>
        </w:rPr>
      </w:pPr>
      <w:r w:rsidRPr="00373DC2">
        <w:rPr>
          <w:rFonts w:cstheme="minorHAnsi"/>
        </w:rPr>
        <w:t>Besteht das kontrafaktische Szenario darin, dass bestehende Anlagen und Ausrüstung in Betrieb bleiben, so ergeben sich die förderfähigen Kosten aus der Differenz zwischen den Kosten der durch die Beihilfe geförderten Investition und dem Kapitalwert der Investitionen in die Wartung, Reparatur und Modernisierung der bestehenden Anlagen und Ausrüstung, abgezinst auf den Zeitpunkt, zu dem die geförderte Investition getätigt würde</w:t>
      </w:r>
    </w:p>
    <w:p w14:paraId="1FBD86CA" w14:textId="47172415" w:rsidR="00AE4787" w:rsidRPr="00373DC2" w:rsidRDefault="00AE4787" w:rsidP="00FF125D">
      <w:pPr>
        <w:pStyle w:val="Listenabsatz"/>
        <w:numPr>
          <w:ilvl w:val="1"/>
          <w:numId w:val="46"/>
        </w:numPr>
        <w:spacing w:line="240" w:lineRule="auto"/>
        <w:ind w:left="993"/>
        <w:contextualSpacing w:val="0"/>
        <w:rPr>
          <w:rFonts w:cstheme="minorHAnsi"/>
        </w:rPr>
      </w:pPr>
      <w:r w:rsidRPr="00373DC2">
        <w:rPr>
          <w:rFonts w:cstheme="minorHAnsi"/>
        </w:rPr>
        <w:t>Bei Ausrüstungen, die Leasingvereinbarungen unterliegen, ergeben sich die förderfähigen Kosten aus der Kapitalwert-Differenz zwischen dem Leasing der durch die Beihilfe geförderten Ausrüstung und dem Leasing der weniger klimafreundlichen Ausrüstung, die ohne Beihilfe geleast würde; die Leasingkosten umfassen keine Kosten im Zusammenhang mit dem Betrieb der Ausrüstung oder der Anlage (Brennstoffkosten, Versicherung, Wartung, sonstige Verbrauchsgüter), unabhängig davon, ob sie Bestandteil des Leasingvertrags sind.</w:t>
      </w:r>
    </w:p>
    <w:p w14:paraId="44E8A62F" w14:textId="77777777" w:rsidR="00AE4787" w:rsidRPr="00373DC2" w:rsidRDefault="00AE4787" w:rsidP="00373DC2">
      <w:pPr>
        <w:pStyle w:val="Listenabsatz"/>
        <w:spacing w:line="240" w:lineRule="auto"/>
        <w:contextualSpacing w:val="0"/>
        <w:rPr>
          <w:rFonts w:cstheme="minorHAnsi"/>
        </w:rPr>
      </w:pPr>
      <w:r w:rsidRPr="00373DC2">
        <w:rPr>
          <w:rFonts w:cstheme="minorHAnsi"/>
        </w:rPr>
        <w:t>In allen in Buchstaben a bis d aufgeführten Situationen besteht das kontrafaktische Szenario in einer Investition mit vergleichbarer Produktionskapazität und Lebensdauer, die den bereits geltenden Unionsnormen entspricht. Das kontrafaktische Szenario muss im Hinblick auf die rechtlichen Anforderungen, die Marktbedingungen und die durch das EU-EHS-System geschaffenen Anreize glaubwürdig sein.</w:t>
      </w:r>
    </w:p>
    <w:p w14:paraId="110B29F0" w14:textId="58730A4C" w:rsidR="00AE4787" w:rsidRPr="00373DC2" w:rsidRDefault="00AE4787" w:rsidP="00FF125D">
      <w:pPr>
        <w:pStyle w:val="Listenabsatz"/>
        <w:numPr>
          <w:ilvl w:val="0"/>
          <w:numId w:val="23"/>
        </w:numPr>
        <w:spacing w:line="240" w:lineRule="auto"/>
        <w:contextualSpacing w:val="0"/>
        <w:rPr>
          <w:rFonts w:cstheme="minorHAnsi"/>
        </w:rPr>
      </w:pPr>
      <w:r w:rsidRPr="00373DC2">
        <w:rPr>
          <w:rFonts w:cstheme="minorHAnsi"/>
        </w:rPr>
        <w:t xml:space="preserve">Abweichend von Absatz 2 können auf Antrag des Antragstellers die förderfähigen Kosten ohne Ermittlung eines kontrafaktischen Szenarios festgelegt werden. In diesem Fall sind die </w:t>
      </w:r>
      <w:r w:rsidRPr="00373DC2">
        <w:rPr>
          <w:rFonts w:cstheme="minorHAnsi"/>
        </w:rPr>
        <w:lastRenderedPageBreak/>
        <w:t>förderfähigen Kosten die Investitionskosten, die in direktem Zusammenhang mit der Verringerung der THG-Emissionen stehen; die Förderintensität wird um 50 % verringert.</w:t>
      </w:r>
    </w:p>
    <w:p w14:paraId="64A05A13" w14:textId="5A1A52EF" w:rsidR="00AE4787" w:rsidRPr="00373DC2" w:rsidRDefault="00AE4787" w:rsidP="00FF125D">
      <w:pPr>
        <w:pStyle w:val="Listenabsatz"/>
        <w:numPr>
          <w:ilvl w:val="0"/>
          <w:numId w:val="23"/>
        </w:numPr>
        <w:spacing w:line="240" w:lineRule="auto"/>
        <w:contextualSpacing w:val="0"/>
        <w:rPr>
          <w:rFonts w:cstheme="minorHAnsi"/>
        </w:rPr>
      </w:pPr>
      <w:r w:rsidRPr="00373DC2">
        <w:rPr>
          <w:rFonts w:cstheme="minorHAnsi"/>
        </w:rPr>
        <w:t>Handelt es sich bei der durch die Beihilfe geförderten Investition um die Installation einer Zusatzkomponente für eine bereits bestehende Anlage und gibt es keine weniger umweltfreundliche kontrafaktische Investition, so sind die gesamten Investitionskosten förderfähig.</w:t>
      </w:r>
    </w:p>
    <w:p w14:paraId="129774AA" w14:textId="6C96C96E" w:rsidR="00AE4787" w:rsidRPr="00373DC2" w:rsidRDefault="00AE4787" w:rsidP="00FF125D">
      <w:pPr>
        <w:pStyle w:val="Listenabsatz"/>
        <w:numPr>
          <w:ilvl w:val="0"/>
          <w:numId w:val="23"/>
        </w:numPr>
        <w:spacing w:line="240" w:lineRule="auto"/>
        <w:contextualSpacing w:val="0"/>
        <w:rPr>
          <w:rFonts w:cstheme="minorHAnsi"/>
        </w:rPr>
      </w:pPr>
      <w:r w:rsidRPr="00373DC2">
        <w:rPr>
          <w:rFonts w:cstheme="minorHAnsi"/>
        </w:rPr>
        <w:t xml:space="preserve">Besteht die durch die Beihilfe geförderte Investition im Bau einer gewidmeten Infrastruktur, d.h. nutzergebundene Infrastruktur und Speicher, im Sinne des Artikels 2 Nummer 130 letzter Satz AGVO für erneuerbaren Wasserstoff im Sinne der Ziffer </w:t>
      </w:r>
      <w:r w:rsidR="008771E8">
        <w:rPr>
          <w:rFonts w:cstheme="minorHAnsi"/>
        </w:rPr>
        <w:t>3</w:t>
      </w:r>
      <w:r w:rsidRPr="00373DC2">
        <w:rPr>
          <w:rFonts w:cstheme="minorHAnsi"/>
        </w:rPr>
        <w:t xml:space="preserve">, die erforderlich ist, um die THG-Emissionen zu verringern, können diese mit bis zu 25 Millionen Euro gefördert werden. In dem Fall sind die gesamten Investitionskosten förderfähig, inklusive für den Bau oder die Modernisierung von Speicheranlagen für erneuerbaren Wasserstoff. </w:t>
      </w:r>
    </w:p>
    <w:p w14:paraId="1C962DBB" w14:textId="77777777" w:rsidR="00AE4787" w:rsidRPr="00373DC2" w:rsidRDefault="00AE4787" w:rsidP="00FF125D">
      <w:pPr>
        <w:pStyle w:val="Listenabsatz"/>
        <w:numPr>
          <w:ilvl w:val="0"/>
          <w:numId w:val="23"/>
        </w:numPr>
        <w:spacing w:line="240" w:lineRule="auto"/>
        <w:contextualSpacing w:val="0"/>
        <w:rPr>
          <w:rFonts w:cstheme="minorHAnsi"/>
        </w:rPr>
      </w:pPr>
      <w:r w:rsidRPr="00373DC2">
        <w:rPr>
          <w:rFonts w:cstheme="minorHAnsi"/>
        </w:rPr>
        <w:t>Nicht direkt mit der Verringerung der THG-Emissionen in Zusammenhang stehende Kosten sind nicht förderfähig.</w:t>
      </w:r>
    </w:p>
    <w:p w14:paraId="618B6063" w14:textId="4FC68717" w:rsidR="00ED2D13" w:rsidRPr="00373DC2" w:rsidRDefault="00AE4787" w:rsidP="00FF125D">
      <w:pPr>
        <w:pStyle w:val="Listenabsatz"/>
        <w:numPr>
          <w:ilvl w:val="0"/>
          <w:numId w:val="23"/>
        </w:numPr>
        <w:spacing w:line="240" w:lineRule="auto"/>
        <w:contextualSpacing w:val="0"/>
        <w:rPr>
          <w:rFonts w:cstheme="minorHAnsi"/>
        </w:rPr>
      </w:pPr>
      <w:r w:rsidRPr="00373DC2">
        <w:rPr>
          <w:rFonts w:cstheme="minorHAnsi"/>
        </w:rPr>
        <w:t>Bei Beihilfen für mittlere Unternehmen kann die Förderintensität um 10 Prozentpunkte, bei Beihilfen für kleine Unternehmen um 20 Prozentpunkte erhöht werden.</w:t>
      </w:r>
    </w:p>
    <w:p w14:paraId="5CA2220C" w14:textId="6FBA7326" w:rsidR="00896843" w:rsidRPr="00373DC2" w:rsidRDefault="00C9572E" w:rsidP="00504AB3">
      <w:pPr>
        <w:spacing w:line="240" w:lineRule="auto"/>
        <w:rPr>
          <w:rFonts w:cstheme="minorHAnsi"/>
          <w:b/>
        </w:rPr>
      </w:pPr>
      <w:r w:rsidRPr="00373DC2">
        <w:rPr>
          <w:rFonts w:cstheme="minorHAnsi"/>
          <w:b/>
        </w:rPr>
        <w:t>5</w:t>
      </w:r>
      <w:r w:rsidR="00AF1E92" w:rsidRPr="00373DC2">
        <w:rPr>
          <w:rFonts w:cstheme="minorHAnsi"/>
          <w:b/>
        </w:rPr>
        <w:t>.</w:t>
      </w:r>
      <w:r w:rsidR="00745B78">
        <w:rPr>
          <w:rFonts w:cstheme="minorHAnsi"/>
          <w:b/>
        </w:rPr>
        <w:t>5</w:t>
      </w:r>
      <w:r w:rsidR="00896843" w:rsidRPr="00373DC2">
        <w:rPr>
          <w:rFonts w:cstheme="minorHAnsi"/>
          <w:b/>
        </w:rPr>
        <w:t>.2 Teilmodul 2</w:t>
      </w:r>
    </w:p>
    <w:p w14:paraId="2EE41E7A" w14:textId="73F99099" w:rsidR="00602721" w:rsidRPr="00373DC2" w:rsidRDefault="00FF65B3" w:rsidP="00AA3131">
      <w:pPr>
        <w:pStyle w:val="Textkrper"/>
        <w:numPr>
          <w:ilvl w:val="0"/>
          <w:numId w:val="3"/>
        </w:numPr>
        <w:spacing w:line="240" w:lineRule="auto"/>
        <w:rPr>
          <w:rFonts w:cstheme="minorHAnsi"/>
        </w:rPr>
      </w:pPr>
      <w:r w:rsidRPr="00373DC2">
        <w:rPr>
          <w:rFonts w:cstheme="minorHAnsi"/>
        </w:rPr>
        <w:t xml:space="preserve">Im Teilmodul </w:t>
      </w:r>
      <w:r w:rsidR="004F19BA" w:rsidRPr="00373DC2">
        <w:rPr>
          <w:rFonts w:cstheme="minorHAnsi"/>
        </w:rPr>
        <w:t>2</w:t>
      </w:r>
      <w:r w:rsidRPr="00373DC2">
        <w:rPr>
          <w:rFonts w:cstheme="minorHAnsi"/>
        </w:rPr>
        <w:t xml:space="preserve"> </w:t>
      </w:r>
      <w:r w:rsidR="004D787F" w:rsidRPr="00373DC2">
        <w:rPr>
          <w:rFonts w:cstheme="minorHAnsi"/>
        </w:rPr>
        <w:t>beträgt die Förderung für</w:t>
      </w:r>
      <w:r w:rsidR="004D787F" w:rsidRPr="00373DC2" w:rsidDel="00FF65B3">
        <w:rPr>
          <w:rFonts w:cstheme="minorHAnsi"/>
        </w:rPr>
        <w:t xml:space="preserve"> </w:t>
      </w:r>
      <w:r w:rsidR="00602721" w:rsidRPr="00373DC2">
        <w:rPr>
          <w:rFonts w:cstheme="minorHAnsi"/>
        </w:rPr>
        <w:t>Investitionsvorhaben bis zu 200 Mi</w:t>
      </w:r>
      <w:r w:rsidR="000B21CB" w:rsidRPr="00373DC2">
        <w:rPr>
          <w:rFonts w:cstheme="minorHAnsi"/>
        </w:rPr>
        <w:t>llionen</w:t>
      </w:r>
      <w:r w:rsidR="00602721" w:rsidRPr="00373DC2">
        <w:rPr>
          <w:rFonts w:cstheme="minorHAnsi"/>
        </w:rPr>
        <w:t xml:space="preserve"> Euro</w:t>
      </w:r>
      <w:r w:rsidR="000B21CB" w:rsidRPr="00373DC2">
        <w:rPr>
          <w:rFonts w:cstheme="minorHAnsi"/>
        </w:rPr>
        <w:t>.</w:t>
      </w:r>
    </w:p>
    <w:p w14:paraId="5D1711F2" w14:textId="63869F5F" w:rsidR="00873BE5" w:rsidRPr="00373DC2" w:rsidRDefault="00A9184E" w:rsidP="00AA3131">
      <w:pPr>
        <w:pStyle w:val="Listenabsatz"/>
        <w:numPr>
          <w:ilvl w:val="0"/>
          <w:numId w:val="3"/>
        </w:numPr>
        <w:spacing w:line="240" w:lineRule="auto"/>
        <w:rPr>
          <w:rFonts w:cstheme="minorHAnsi"/>
        </w:rPr>
      </w:pPr>
      <w:r w:rsidRPr="00373DC2">
        <w:rPr>
          <w:rFonts w:cstheme="minorHAnsi"/>
        </w:rPr>
        <w:t xml:space="preserve">Die </w:t>
      </w:r>
      <w:r w:rsidR="00402936" w:rsidRPr="00373DC2">
        <w:rPr>
          <w:rFonts w:cstheme="minorHAnsi"/>
        </w:rPr>
        <w:t>förderf</w:t>
      </w:r>
      <w:r w:rsidRPr="00373DC2">
        <w:rPr>
          <w:rFonts w:cstheme="minorHAnsi"/>
        </w:rPr>
        <w:t>ähigen Kosten</w:t>
      </w:r>
      <w:r w:rsidR="004F19BA" w:rsidRPr="00373DC2">
        <w:rPr>
          <w:rFonts w:cstheme="minorHAnsi"/>
        </w:rPr>
        <w:t xml:space="preserve"> </w:t>
      </w:r>
      <w:r w:rsidR="00291945" w:rsidRPr="00373DC2">
        <w:rPr>
          <w:rFonts w:cstheme="minorHAnsi"/>
        </w:rPr>
        <w:t>bzw. Ausgaben</w:t>
      </w:r>
      <w:r w:rsidRPr="00373DC2">
        <w:rPr>
          <w:rFonts w:cstheme="minorHAnsi"/>
        </w:rPr>
        <w:t xml:space="preserve"> </w:t>
      </w:r>
      <w:r w:rsidR="00614379" w:rsidRPr="00373DC2">
        <w:rPr>
          <w:rFonts w:cstheme="minorHAnsi"/>
        </w:rPr>
        <w:t xml:space="preserve">sind </w:t>
      </w:r>
      <w:r w:rsidRPr="00373DC2">
        <w:rPr>
          <w:rFonts w:cstheme="minorHAnsi"/>
        </w:rPr>
        <w:t xml:space="preserve">die Investitionskosten im Zusammenhang mit dem förderfähigen Vorhaben, insbesondere die </w:t>
      </w:r>
      <w:r w:rsidR="0065133C">
        <w:rPr>
          <w:rFonts w:cstheme="minorHAnsi"/>
        </w:rPr>
        <w:t>K</w:t>
      </w:r>
      <w:r w:rsidRPr="00373DC2">
        <w:rPr>
          <w:rFonts w:cstheme="minorHAnsi"/>
        </w:rPr>
        <w:t xml:space="preserve">osten </w:t>
      </w:r>
      <w:r w:rsidR="00291945" w:rsidRPr="00373DC2">
        <w:rPr>
          <w:rFonts w:cstheme="minorHAnsi"/>
        </w:rPr>
        <w:t>bzw. Ausgaben</w:t>
      </w:r>
      <w:r w:rsidRPr="00373DC2">
        <w:rPr>
          <w:rFonts w:cstheme="minorHAnsi"/>
        </w:rPr>
        <w:t xml:space="preserve"> für Ausrüstungen, Maschinen oder Anlagen, die für die Elektrifizierung, für die Umstellung auf Wasserstoff oder aus Wasserstoff gewonnene Brennstoffe erforderlich sind. </w:t>
      </w:r>
    </w:p>
    <w:p w14:paraId="11B993F6" w14:textId="355722FC" w:rsidR="00602721" w:rsidRPr="00373DC2" w:rsidRDefault="00A9184E" w:rsidP="00AA3131">
      <w:pPr>
        <w:pStyle w:val="Textkrper"/>
        <w:numPr>
          <w:ilvl w:val="0"/>
          <w:numId w:val="3"/>
        </w:numPr>
        <w:spacing w:line="240" w:lineRule="auto"/>
        <w:rPr>
          <w:rFonts w:cstheme="minorHAnsi"/>
        </w:rPr>
      </w:pPr>
      <w:r w:rsidRPr="00373DC2">
        <w:rPr>
          <w:rFonts w:cstheme="minorHAnsi"/>
        </w:rPr>
        <w:t xml:space="preserve">Die </w:t>
      </w:r>
      <w:r w:rsidR="00402936" w:rsidRPr="00373DC2">
        <w:rPr>
          <w:rFonts w:cstheme="minorHAnsi"/>
        </w:rPr>
        <w:t>Förder</w:t>
      </w:r>
      <w:r w:rsidR="00FF65B3" w:rsidRPr="00373DC2">
        <w:rPr>
          <w:rFonts w:cstheme="minorHAnsi"/>
        </w:rPr>
        <w:t>i</w:t>
      </w:r>
      <w:r w:rsidRPr="00373DC2">
        <w:rPr>
          <w:rFonts w:cstheme="minorHAnsi"/>
        </w:rPr>
        <w:t>ntensität beträgt bei Elektrifizierungsvorhaben</w:t>
      </w:r>
      <w:r w:rsidR="002E467B" w:rsidRPr="00373DC2">
        <w:rPr>
          <w:rFonts w:cstheme="minorHAnsi"/>
        </w:rPr>
        <w:t xml:space="preserve"> bis zu</w:t>
      </w:r>
      <w:r w:rsidRPr="00373DC2">
        <w:rPr>
          <w:rFonts w:cstheme="minorHAnsi"/>
        </w:rPr>
        <w:t xml:space="preserve"> 30 % und bei Vorhaben zur Umstellung auf Wasserstoff oder aus Wasserstoff gewonnene Brennstoffe </w:t>
      </w:r>
      <w:r w:rsidR="002E467B" w:rsidRPr="00373DC2">
        <w:rPr>
          <w:rFonts w:cstheme="minorHAnsi"/>
        </w:rPr>
        <w:t xml:space="preserve">bis zu </w:t>
      </w:r>
      <w:r w:rsidRPr="00373DC2">
        <w:rPr>
          <w:rFonts w:cstheme="minorHAnsi"/>
        </w:rPr>
        <w:t xml:space="preserve">60 % der </w:t>
      </w:r>
      <w:r w:rsidR="00402936" w:rsidRPr="00373DC2">
        <w:rPr>
          <w:rFonts w:cstheme="minorHAnsi"/>
        </w:rPr>
        <w:t>förder</w:t>
      </w:r>
      <w:r w:rsidRPr="00373DC2">
        <w:rPr>
          <w:rFonts w:cstheme="minorHAnsi"/>
        </w:rPr>
        <w:t>fähigen Kosten</w:t>
      </w:r>
      <w:r w:rsidR="00291945" w:rsidRPr="00373DC2">
        <w:rPr>
          <w:rFonts w:cstheme="minorHAnsi"/>
        </w:rPr>
        <w:t xml:space="preserve"> bzw</w:t>
      </w:r>
      <w:r w:rsidRPr="00373DC2">
        <w:rPr>
          <w:rFonts w:cstheme="minorHAnsi"/>
        </w:rPr>
        <w:t>.</w:t>
      </w:r>
      <w:r w:rsidR="00291945" w:rsidRPr="00373DC2">
        <w:rPr>
          <w:rFonts w:cstheme="minorHAnsi"/>
        </w:rPr>
        <w:t xml:space="preserve"> Ausgaben</w:t>
      </w:r>
      <w:r w:rsidRPr="00373DC2">
        <w:rPr>
          <w:rFonts w:cstheme="minorHAnsi"/>
        </w:rPr>
        <w:t xml:space="preserve">. </w:t>
      </w:r>
    </w:p>
    <w:p w14:paraId="6892468E" w14:textId="3E9CDB60" w:rsidR="00896843" w:rsidRPr="00373DC2" w:rsidRDefault="00C9572E" w:rsidP="00504AB3">
      <w:pPr>
        <w:spacing w:line="240" w:lineRule="auto"/>
        <w:rPr>
          <w:rFonts w:cstheme="minorHAnsi"/>
          <w:b/>
        </w:rPr>
      </w:pPr>
      <w:r w:rsidRPr="00373DC2">
        <w:rPr>
          <w:rFonts w:cstheme="minorHAnsi"/>
          <w:b/>
        </w:rPr>
        <w:t>5</w:t>
      </w:r>
      <w:r w:rsidR="00896843" w:rsidRPr="00373DC2">
        <w:rPr>
          <w:rFonts w:cstheme="minorHAnsi"/>
          <w:b/>
        </w:rPr>
        <w:t>.</w:t>
      </w:r>
      <w:r w:rsidR="00745B78">
        <w:rPr>
          <w:rFonts w:cstheme="minorHAnsi"/>
          <w:b/>
        </w:rPr>
        <w:t>5</w:t>
      </w:r>
      <w:r w:rsidR="00896843" w:rsidRPr="00373DC2">
        <w:rPr>
          <w:rFonts w:cstheme="minorHAnsi"/>
          <w:b/>
        </w:rPr>
        <w:t>.3 Teilmodul 3</w:t>
      </w:r>
    </w:p>
    <w:p w14:paraId="0855269B" w14:textId="0B62F14A" w:rsidR="000B21CB" w:rsidRPr="00373DC2" w:rsidRDefault="00FF65B3" w:rsidP="00AA3131">
      <w:pPr>
        <w:pStyle w:val="Textkrper"/>
        <w:numPr>
          <w:ilvl w:val="0"/>
          <w:numId w:val="4"/>
        </w:numPr>
        <w:spacing w:line="240" w:lineRule="auto"/>
        <w:rPr>
          <w:rFonts w:cstheme="minorHAnsi"/>
        </w:rPr>
      </w:pPr>
      <w:r w:rsidRPr="00373DC2">
        <w:rPr>
          <w:rFonts w:cstheme="minorHAnsi"/>
        </w:rPr>
        <w:t xml:space="preserve">Im Teilmodul </w:t>
      </w:r>
      <w:r w:rsidR="004F19BA" w:rsidRPr="00373DC2">
        <w:rPr>
          <w:rFonts w:cstheme="minorHAnsi"/>
        </w:rPr>
        <w:t xml:space="preserve">3 </w:t>
      </w:r>
      <w:r w:rsidR="004D787F" w:rsidRPr="00373DC2">
        <w:rPr>
          <w:rFonts w:cstheme="minorHAnsi"/>
        </w:rPr>
        <w:t>beträgt die Förderung für</w:t>
      </w:r>
    </w:p>
    <w:p w14:paraId="0AAF044A" w14:textId="03EA386D" w:rsidR="000B21CB" w:rsidRPr="00373DC2" w:rsidRDefault="000B21CB" w:rsidP="00504AB3">
      <w:pPr>
        <w:pStyle w:val="Textkrper"/>
        <w:spacing w:line="240" w:lineRule="auto"/>
        <w:ind w:left="720"/>
        <w:rPr>
          <w:rFonts w:cstheme="minorHAnsi"/>
        </w:rPr>
      </w:pPr>
      <w:r w:rsidRPr="00373DC2">
        <w:rPr>
          <w:rFonts w:cstheme="minorHAnsi"/>
        </w:rPr>
        <w:t>a)</w:t>
      </w:r>
      <w:r w:rsidR="00873BE5" w:rsidRPr="00373DC2">
        <w:rPr>
          <w:rFonts w:cstheme="minorHAnsi"/>
        </w:rPr>
        <w:t xml:space="preserve"> </w:t>
      </w:r>
      <w:r w:rsidRPr="00373DC2">
        <w:rPr>
          <w:rFonts w:cstheme="minorHAnsi"/>
        </w:rPr>
        <w:t xml:space="preserve">Vorhaben </w:t>
      </w:r>
      <w:r w:rsidR="00873BE5" w:rsidRPr="00373DC2">
        <w:rPr>
          <w:rFonts w:cstheme="minorHAnsi"/>
        </w:rPr>
        <w:t>der industriellen Forschung bis zu 35 Mi</w:t>
      </w:r>
      <w:r w:rsidRPr="00373DC2">
        <w:rPr>
          <w:rFonts w:cstheme="minorHAnsi"/>
        </w:rPr>
        <w:t>llionen</w:t>
      </w:r>
      <w:r w:rsidR="00873BE5" w:rsidRPr="00373DC2">
        <w:rPr>
          <w:rFonts w:cstheme="minorHAnsi"/>
        </w:rPr>
        <w:t xml:space="preserve"> Euro</w:t>
      </w:r>
      <w:r w:rsidR="004F19BA" w:rsidRPr="00373DC2">
        <w:rPr>
          <w:rFonts w:cstheme="minorHAnsi"/>
        </w:rPr>
        <w:t>,</w:t>
      </w:r>
    </w:p>
    <w:p w14:paraId="144089E6" w14:textId="4B8372C2" w:rsidR="000B21CB" w:rsidRPr="00373DC2" w:rsidRDefault="000B21CB" w:rsidP="00504AB3">
      <w:pPr>
        <w:pStyle w:val="Textkrper"/>
        <w:spacing w:line="240" w:lineRule="auto"/>
        <w:ind w:left="720"/>
        <w:rPr>
          <w:rFonts w:cstheme="minorHAnsi"/>
        </w:rPr>
      </w:pPr>
      <w:r w:rsidRPr="00373DC2">
        <w:rPr>
          <w:rFonts w:cstheme="minorHAnsi"/>
        </w:rPr>
        <w:t xml:space="preserve">b) </w:t>
      </w:r>
      <w:r w:rsidR="00F03541" w:rsidRPr="00373DC2">
        <w:rPr>
          <w:rFonts w:cstheme="minorHAnsi"/>
        </w:rPr>
        <w:t>Vorhaben</w:t>
      </w:r>
      <w:r w:rsidR="00873BE5" w:rsidRPr="00373DC2">
        <w:rPr>
          <w:rFonts w:cstheme="minorHAnsi"/>
        </w:rPr>
        <w:t xml:space="preserve"> der experimentellen Forschung bis zu 25 Mi</w:t>
      </w:r>
      <w:r w:rsidRPr="00373DC2">
        <w:rPr>
          <w:rFonts w:cstheme="minorHAnsi"/>
        </w:rPr>
        <w:t>llionen</w:t>
      </w:r>
      <w:r w:rsidR="00873BE5" w:rsidRPr="00373DC2">
        <w:rPr>
          <w:rFonts w:cstheme="minorHAnsi"/>
        </w:rPr>
        <w:t xml:space="preserve"> Euro</w:t>
      </w:r>
      <w:r w:rsidR="004F19BA" w:rsidRPr="00373DC2">
        <w:rPr>
          <w:rFonts w:cstheme="minorHAnsi"/>
        </w:rPr>
        <w:t>,</w:t>
      </w:r>
    </w:p>
    <w:p w14:paraId="553F5453" w14:textId="13BD69FE" w:rsidR="000B21CB" w:rsidRPr="00373DC2" w:rsidRDefault="000B21CB" w:rsidP="00504AB3">
      <w:pPr>
        <w:pStyle w:val="Textkrper"/>
        <w:spacing w:line="240" w:lineRule="auto"/>
        <w:ind w:left="720"/>
        <w:rPr>
          <w:rFonts w:cstheme="minorHAnsi"/>
        </w:rPr>
      </w:pPr>
      <w:r w:rsidRPr="00373DC2">
        <w:rPr>
          <w:rFonts w:cstheme="minorHAnsi"/>
        </w:rPr>
        <w:t xml:space="preserve">c) </w:t>
      </w:r>
      <w:r w:rsidR="00873BE5" w:rsidRPr="00373DC2">
        <w:rPr>
          <w:rFonts w:cstheme="minorHAnsi"/>
        </w:rPr>
        <w:t>Durchführbarkeitsstudien bis zu 8,25 Mi</w:t>
      </w:r>
      <w:r w:rsidRPr="00373DC2">
        <w:rPr>
          <w:rFonts w:cstheme="minorHAnsi"/>
        </w:rPr>
        <w:t>llionen</w:t>
      </w:r>
      <w:r w:rsidR="00873BE5" w:rsidRPr="00373DC2">
        <w:rPr>
          <w:rFonts w:cstheme="minorHAnsi"/>
        </w:rPr>
        <w:t xml:space="preserve"> Euro</w:t>
      </w:r>
      <w:r w:rsidR="004F19BA" w:rsidRPr="00373DC2">
        <w:rPr>
          <w:rFonts w:cstheme="minorHAnsi"/>
        </w:rPr>
        <w:t>.</w:t>
      </w:r>
    </w:p>
    <w:p w14:paraId="25420FD2" w14:textId="74522CC7" w:rsidR="00873BE5" w:rsidRPr="00373DC2" w:rsidRDefault="000B21CB" w:rsidP="00504AB3">
      <w:pPr>
        <w:pStyle w:val="Textkrper"/>
        <w:spacing w:line="240" w:lineRule="auto"/>
        <w:ind w:left="720"/>
        <w:rPr>
          <w:rFonts w:cstheme="minorHAnsi"/>
        </w:rPr>
      </w:pPr>
      <w:r w:rsidRPr="00373DC2">
        <w:rPr>
          <w:rFonts w:cstheme="minorHAnsi"/>
        </w:rPr>
        <w:t>Bei gemischten Vorhaben wird das Vorhaben der Kategorie zugeordnet, deren Kosten mehr als die Häl</w:t>
      </w:r>
      <w:r w:rsidR="00924093" w:rsidRPr="00373DC2">
        <w:rPr>
          <w:rFonts w:cstheme="minorHAnsi"/>
        </w:rPr>
        <w:t>f</w:t>
      </w:r>
      <w:r w:rsidRPr="00373DC2">
        <w:rPr>
          <w:rFonts w:cstheme="minorHAnsi"/>
        </w:rPr>
        <w:t>t</w:t>
      </w:r>
      <w:r w:rsidR="00924093" w:rsidRPr="00373DC2">
        <w:rPr>
          <w:rFonts w:cstheme="minorHAnsi"/>
        </w:rPr>
        <w:t>e</w:t>
      </w:r>
      <w:r w:rsidRPr="00373DC2">
        <w:rPr>
          <w:rFonts w:cstheme="minorHAnsi"/>
        </w:rPr>
        <w:t xml:space="preserve"> der Gesamtvorhabenkosten ausmachen.</w:t>
      </w:r>
      <w:r w:rsidR="00873BE5" w:rsidRPr="00373DC2">
        <w:rPr>
          <w:rFonts w:cstheme="minorHAnsi"/>
        </w:rPr>
        <w:t xml:space="preserve"> </w:t>
      </w:r>
    </w:p>
    <w:p w14:paraId="0C1991E1" w14:textId="51057F50" w:rsidR="00873BE5" w:rsidRPr="00373DC2" w:rsidRDefault="00873BE5" w:rsidP="00AA3131">
      <w:pPr>
        <w:pStyle w:val="Textkrper"/>
        <w:numPr>
          <w:ilvl w:val="0"/>
          <w:numId w:val="4"/>
        </w:numPr>
        <w:spacing w:line="240" w:lineRule="auto"/>
        <w:rPr>
          <w:rFonts w:cstheme="minorHAnsi"/>
        </w:rPr>
      </w:pPr>
      <w:r w:rsidRPr="00373DC2">
        <w:rPr>
          <w:rFonts w:cstheme="minorHAnsi"/>
        </w:rPr>
        <w:t xml:space="preserve">Für Forschungs- und Entwicklungsvorhaben sind die in Art. 25 Abs. 3 AGVO aufgeführten Kosten </w:t>
      </w:r>
      <w:r w:rsidR="00402936" w:rsidRPr="00373DC2">
        <w:rPr>
          <w:rFonts w:cstheme="minorHAnsi"/>
        </w:rPr>
        <w:t>förder</w:t>
      </w:r>
      <w:r w:rsidRPr="00373DC2">
        <w:rPr>
          <w:rFonts w:cstheme="minorHAnsi"/>
        </w:rPr>
        <w:t xml:space="preserve">fähig, für Durchführbarkeitsstudien die Kosten der Studie. </w:t>
      </w:r>
    </w:p>
    <w:p w14:paraId="4BFE2DF1" w14:textId="64AB298E" w:rsidR="00873BE5" w:rsidRPr="00373DC2" w:rsidRDefault="00873BE5" w:rsidP="00AA3131">
      <w:pPr>
        <w:pStyle w:val="Textkrper"/>
        <w:numPr>
          <w:ilvl w:val="0"/>
          <w:numId w:val="4"/>
        </w:numPr>
        <w:spacing w:line="240" w:lineRule="auto"/>
        <w:rPr>
          <w:rFonts w:cstheme="minorHAnsi"/>
        </w:rPr>
      </w:pPr>
      <w:r w:rsidRPr="00373DC2">
        <w:rPr>
          <w:rFonts w:cstheme="minorHAnsi"/>
        </w:rPr>
        <w:t xml:space="preserve">Die </w:t>
      </w:r>
      <w:r w:rsidR="00402936" w:rsidRPr="00373DC2">
        <w:rPr>
          <w:rFonts w:cstheme="minorHAnsi"/>
        </w:rPr>
        <w:t>Förder</w:t>
      </w:r>
      <w:r w:rsidRPr="00373DC2">
        <w:rPr>
          <w:rFonts w:cstheme="minorHAnsi"/>
        </w:rPr>
        <w:t xml:space="preserve">intensität beträgt </w:t>
      </w:r>
      <w:r w:rsidR="002E467B" w:rsidRPr="00373DC2">
        <w:rPr>
          <w:rFonts w:cstheme="minorHAnsi"/>
        </w:rPr>
        <w:t xml:space="preserve">bis zu </w:t>
      </w:r>
      <w:r w:rsidRPr="00373DC2">
        <w:rPr>
          <w:rFonts w:cstheme="minorHAnsi"/>
        </w:rPr>
        <w:t xml:space="preserve">25 % für experimentelle Entwicklung und </w:t>
      </w:r>
      <w:r w:rsidR="002E467B" w:rsidRPr="00373DC2">
        <w:rPr>
          <w:rFonts w:cstheme="minorHAnsi"/>
        </w:rPr>
        <w:t xml:space="preserve">bis zu </w:t>
      </w:r>
      <w:r w:rsidRPr="00373DC2">
        <w:rPr>
          <w:rFonts w:cstheme="minorHAnsi"/>
        </w:rPr>
        <w:t xml:space="preserve">50 % für industrielle Forschung </w:t>
      </w:r>
      <w:r w:rsidR="00C749C5" w:rsidRPr="00373DC2">
        <w:rPr>
          <w:rFonts w:cstheme="minorHAnsi"/>
        </w:rPr>
        <w:t xml:space="preserve">sowie </w:t>
      </w:r>
      <w:r w:rsidRPr="00373DC2">
        <w:rPr>
          <w:rFonts w:cstheme="minorHAnsi"/>
        </w:rPr>
        <w:t xml:space="preserve">Durchführbarkeitsstudien. Sie erhöht sich für mittlere Unternehmen um 10, für kleine Unternehmen um 20 Prozentpunkte. Weitere Aufschläge bis zu einer maximalen </w:t>
      </w:r>
      <w:r w:rsidR="00402936" w:rsidRPr="00373DC2">
        <w:rPr>
          <w:rFonts w:cstheme="minorHAnsi"/>
        </w:rPr>
        <w:t>Förder</w:t>
      </w:r>
      <w:r w:rsidRPr="00373DC2">
        <w:rPr>
          <w:rFonts w:cstheme="minorHAnsi"/>
        </w:rPr>
        <w:t>intensität von</w:t>
      </w:r>
      <w:r w:rsidR="002E467B" w:rsidRPr="00373DC2">
        <w:rPr>
          <w:rFonts w:cstheme="minorHAnsi"/>
        </w:rPr>
        <w:t xml:space="preserve"> bis zu</w:t>
      </w:r>
      <w:r w:rsidRPr="00373DC2">
        <w:rPr>
          <w:rFonts w:cstheme="minorHAnsi"/>
        </w:rPr>
        <w:t xml:space="preserve"> 80 % sind für industrielle Forschung und experimentelle Entwicklung unter den in Art. 25 Abs. 6 lit. b bis d AGVO genannten Voraussetzungen möglich. </w:t>
      </w:r>
      <w:r w:rsidR="003D5FA7">
        <w:rPr>
          <w:rFonts w:cstheme="minorHAnsi"/>
        </w:rPr>
        <w:t xml:space="preserve">Die Art. 25 Abs. 6 </w:t>
      </w:r>
      <w:proofErr w:type="spellStart"/>
      <w:r w:rsidR="003D5FA7">
        <w:rPr>
          <w:rFonts w:cstheme="minorHAnsi"/>
        </w:rPr>
        <w:t>lit</w:t>
      </w:r>
      <w:proofErr w:type="spellEnd"/>
      <w:r w:rsidR="003D5FA7">
        <w:rPr>
          <w:rFonts w:cstheme="minorHAnsi"/>
        </w:rPr>
        <w:t>. b bis d AGVO dürfen dabei nicht kombiniert werden.</w:t>
      </w:r>
    </w:p>
    <w:p w14:paraId="0CAB5039" w14:textId="2298BFE1" w:rsidR="00AF1E92" w:rsidRPr="00373DC2" w:rsidRDefault="00C9572E" w:rsidP="00504AB3">
      <w:pPr>
        <w:spacing w:line="240" w:lineRule="auto"/>
        <w:rPr>
          <w:rFonts w:cstheme="minorHAnsi"/>
          <w:b/>
        </w:rPr>
      </w:pPr>
      <w:r w:rsidRPr="00373DC2">
        <w:rPr>
          <w:rFonts w:cstheme="minorHAnsi"/>
          <w:b/>
        </w:rPr>
        <w:t>5</w:t>
      </w:r>
      <w:r w:rsidR="00896843" w:rsidRPr="00373DC2">
        <w:rPr>
          <w:rFonts w:cstheme="minorHAnsi"/>
          <w:b/>
        </w:rPr>
        <w:t>.</w:t>
      </w:r>
      <w:r w:rsidR="00745B78">
        <w:rPr>
          <w:rFonts w:cstheme="minorHAnsi"/>
          <w:b/>
        </w:rPr>
        <w:t>6</w:t>
      </w:r>
      <w:r w:rsidR="00896843" w:rsidRPr="00373DC2">
        <w:rPr>
          <w:rFonts w:cstheme="minorHAnsi"/>
          <w:b/>
        </w:rPr>
        <w:t xml:space="preserve"> </w:t>
      </w:r>
      <w:r w:rsidR="00AF1E92" w:rsidRPr="00373DC2">
        <w:rPr>
          <w:rFonts w:cstheme="minorHAnsi"/>
          <w:b/>
        </w:rPr>
        <w:t>Verfahren</w:t>
      </w:r>
    </w:p>
    <w:p w14:paraId="1B6B20F3" w14:textId="5905D196" w:rsidR="00173DF4" w:rsidRPr="00373DC2" w:rsidRDefault="00173DF4" w:rsidP="00504AB3">
      <w:pPr>
        <w:spacing w:line="240" w:lineRule="auto"/>
        <w:rPr>
          <w:rFonts w:cstheme="minorHAnsi"/>
          <w:b/>
        </w:rPr>
      </w:pPr>
      <w:r w:rsidRPr="00373DC2">
        <w:rPr>
          <w:rFonts w:cstheme="minorHAnsi"/>
          <w:b/>
        </w:rPr>
        <w:t>5.</w:t>
      </w:r>
      <w:r w:rsidR="00745B78">
        <w:rPr>
          <w:rFonts w:cstheme="minorHAnsi"/>
          <w:b/>
        </w:rPr>
        <w:t>6</w:t>
      </w:r>
      <w:r w:rsidRPr="00373DC2">
        <w:rPr>
          <w:rFonts w:cstheme="minorHAnsi"/>
          <w:b/>
        </w:rPr>
        <w:t>.1 Projektträger</w:t>
      </w:r>
    </w:p>
    <w:p w14:paraId="6BB658B5" w14:textId="3EC3B43A" w:rsidR="00173DF4" w:rsidRPr="00373DC2" w:rsidRDefault="00173DF4" w:rsidP="00FF125D">
      <w:pPr>
        <w:pStyle w:val="Listenabsatz"/>
        <w:numPr>
          <w:ilvl w:val="0"/>
          <w:numId w:val="27"/>
        </w:numPr>
        <w:spacing w:line="240" w:lineRule="auto"/>
        <w:rPr>
          <w:rFonts w:cstheme="minorHAnsi"/>
        </w:rPr>
      </w:pPr>
      <w:r w:rsidRPr="00373DC2">
        <w:rPr>
          <w:rFonts w:cstheme="minorHAnsi"/>
        </w:rPr>
        <w:lastRenderedPageBreak/>
        <w:t>Projektträger zur Betreuung de</w:t>
      </w:r>
      <w:r w:rsidR="00535E2A" w:rsidRPr="00373DC2">
        <w:rPr>
          <w:rFonts w:cstheme="minorHAnsi"/>
        </w:rPr>
        <w:t>s</w:t>
      </w:r>
      <w:r w:rsidRPr="00373DC2">
        <w:rPr>
          <w:rFonts w:cstheme="minorHAnsi"/>
        </w:rPr>
        <w:t xml:space="preserve"> </w:t>
      </w:r>
      <w:r w:rsidR="00535E2A" w:rsidRPr="00373DC2">
        <w:rPr>
          <w:rFonts w:cstheme="minorHAnsi"/>
        </w:rPr>
        <w:t>Moduls 1</w:t>
      </w:r>
      <w:r w:rsidR="008A32E2" w:rsidRPr="00373DC2">
        <w:rPr>
          <w:rFonts w:cstheme="minorHAnsi"/>
        </w:rPr>
        <w:t xml:space="preserve"> ist das </w:t>
      </w:r>
      <w:r w:rsidRPr="00373DC2">
        <w:rPr>
          <w:rFonts w:cstheme="minorHAnsi"/>
        </w:rPr>
        <w:t>Kompetenzzentrum Klimaschutz in energieintensiven Industrien (KEI)</w:t>
      </w:r>
      <w:r w:rsidR="008A32E2" w:rsidRPr="00373DC2">
        <w:rPr>
          <w:rFonts w:cstheme="minorHAnsi"/>
        </w:rPr>
        <w:t>,</w:t>
      </w:r>
      <w:r w:rsidRPr="00373DC2">
        <w:rPr>
          <w:rFonts w:cstheme="minorHAnsi"/>
        </w:rPr>
        <w:t xml:space="preserve"> Karl-Liebknecht-Straße 33</w:t>
      </w:r>
      <w:r w:rsidR="008A32E2" w:rsidRPr="00373DC2">
        <w:rPr>
          <w:rFonts w:cstheme="minorHAnsi"/>
        </w:rPr>
        <w:t xml:space="preserve">, </w:t>
      </w:r>
      <w:r w:rsidRPr="00373DC2">
        <w:rPr>
          <w:rFonts w:cstheme="minorHAnsi"/>
        </w:rPr>
        <w:t>03046 Cottbus,</w:t>
      </w:r>
      <w:r w:rsidR="008A32E2" w:rsidRPr="00373DC2">
        <w:rPr>
          <w:rFonts w:cstheme="minorHAnsi"/>
        </w:rPr>
        <w:t xml:space="preserve"> </w:t>
      </w:r>
      <w:r w:rsidRPr="00373DC2">
        <w:rPr>
          <w:rFonts w:cstheme="minorHAnsi"/>
        </w:rPr>
        <w:t xml:space="preserve">ein Teil der ZUG Zukunft – Umwelt – Gesellschaft (ZUG) gGmbH (Köthener Straße 4, 10963 Berlin). </w:t>
      </w:r>
    </w:p>
    <w:p w14:paraId="44571CC9" w14:textId="77777777" w:rsidR="00173DF4" w:rsidRPr="00373DC2" w:rsidRDefault="00173DF4" w:rsidP="00FF125D">
      <w:pPr>
        <w:pStyle w:val="Listenabsatz"/>
        <w:numPr>
          <w:ilvl w:val="0"/>
          <w:numId w:val="27"/>
        </w:numPr>
        <w:spacing w:line="240" w:lineRule="auto"/>
        <w:rPr>
          <w:rFonts w:cstheme="minorHAnsi"/>
        </w:rPr>
      </w:pPr>
      <w:r w:rsidRPr="00373DC2">
        <w:rPr>
          <w:rFonts w:cstheme="minorHAnsi"/>
        </w:rPr>
        <w:t xml:space="preserve">Richtlinien, Formulare, Merkblätter, FAQs, Hinweise, Nebenbestimmungen und gesonderte Bekanntmachungen können abgerufen werden unter den Internetadressen: </w:t>
      </w:r>
    </w:p>
    <w:p w14:paraId="37267809" w14:textId="7A8687C4" w:rsidR="00173DF4" w:rsidRPr="00373DC2" w:rsidRDefault="00173DF4" w:rsidP="00373DC2">
      <w:pPr>
        <w:spacing w:line="240" w:lineRule="auto"/>
        <w:ind w:left="709"/>
        <w:rPr>
          <w:rFonts w:cstheme="minorHAnsi"/>
        </w:rPr>
      </w:pPr>
      <w:r w:rsidRPr="00373DC2">
        <w:rPr>
          <w:rFonts w:cstheme="minorHAnsi"/>
        </w:rPr>
        <w:t xml:space="preserve">– </w:t>
      </w:r>
      <w:hyperlink r:id="rId12" w:history="1">
        <w:r w:rsidRPr="00373DC2">
          <w:rPr>
            <w:rStyle w:val="Hyperlink"/>
            <w:rFonts w:cstheme="minorHAnsi"/>
          </w:rPr>
          <w:t>www.klimaschutz-industrie.de</w:t>
        </w:r>
      </w:hyperlink>
      <w:r w:rsidRPr="00373DC2">
        <w:rPr>
          <w:rFonts w:cstheme="minorHAnsi"/>
        </w:rPr>
        <w:t xml:space="preserve">, </w:t>
      </w:r>
    </w:p>
    <w:p w14:paraId="6B8E940F" w14:textId="5CF82814" w:rsidR="00173DF4" w:rsidRPr="00373DC2" w:rsidRDefault="00173DF4" w:rsidP="00373DC2">
      <w:pPr>
        <w:spacing w:line="240" w:lineRule="auto"/>
        <w:ind w:left="709"/>
        <w:rPr>
          <w:rFonts w:cstheme="minorHAnsi"/>
          <w:b/>
        </w:rPr>
      </w:pPr>
      <w:r w:rsidRPr="00373DC2">
        <w:rPr>
          <w:rFonts w:cstheme="minorHAnsi"/>
        </w:rPr>
        <w:t>– www.foerderprogramm-dekarbonisierung.de</w:t>
      </w:r>
    </w:p>
    <w:p w14:paraId="38668AAA" w14:textId="4F463FD5" w:rsidR="000A246D" w:rsidRPr="00373DC2" w:rsidRDefault="000A246D" w:rsidP="00504AB3">
      <w:pPr>
        <w:spacing w:line="240" w:lineRule="auto"/>
        <w:rPr>
          <w:rFonts w:cstheme="minorHAnsi"/>
          <w:b/>
        </w:rPr>
      </w:pPr>
      <w:r w:rsidRPr="00373DC2">
        <w:rPr>
          <w:rFonts w:cstheme="minorHAnsi"/>
          <w:b/>
        </w:rPr>
        <w:t>5.</w:t>
      </w:r>
      <w:r w:rsidR="00745B78">
        <w:rPr>
          <w:rFonts w:cstheme="minorHAnsi"/>
          <w:b/>
        </w:rPr>
        <w:t>6</w:t>
      </w:r>
      <w:r w:rsidRPr="00373DC2">
        <w:rPr>
          <w:rFonts w:cstheme="minorHAnsi"/>
          <w:b/>
        </w:rPr>
        <w:t>.2 Weitere Beteiligte</w:t>
      </w:r>
    </w:p>
    <w:p w14:paraId="45B6D3E2" w14:textId="4D767584" w:rsidR="000A246D" w:rsidRPr="00373DC2" w:rsidRDefault="00B91E68" w:rsidP="00504AB3">
      <w:pPr>
        <w:spacing w:line="240" w:lineRule="auto"/>
        <w:rPr>
          <w:rFonts w:cstheme="minorHAnsi"/>
        </w:rPr>
      </w:pPr>
      <w:r w:rsidRPr="00373DC2">
        <w:rPr>
          <w:rFonts w:cstheme="minorHAnsi"/>
        </w:rPr>
        <w:t>Im Modul 1 erfolgen die Verfahren der Skizzenbewertung, des Auswahlverfahrens, der Antragsbewertung, der Projektbegleitung und des Abschlusses unter Beteiligung des Umweltbundesamtes</w:t>
      </w:r>
      <w:r w:rsidR="000A246D" w:rsidRPr="00373DC2">
        <w:rPr>
          <w:rFonts w:cstheme="minorHAnsi"/>
        </w:rPr>
        <w:t>.</w:t>
      </w:r>
    </w:p>
    <w:p w14:paraId="4A075DC9" w14:textId="550BAE23" w:rsidR="00C9572E" w:rsidRPr="00373DC2" w:rsidRDefault="00DD5DD9" w:rsidP="00504AB3">
      <w:pPr>
        <w:spacing w:line="240" w:lineRule="auto"/>
        <w:rPr>
          <w:rFonts w:cstheme="minorHAnsi"/>
          <w:b/>
        </w:rPr>
      </w:pPr>
      <w:r w:rsidRPr="00373DC2">
        <w:rPr>
          <w:rFonts w:cstheme="minorHAnsi"/>
          <w:b/>
        </w:rPr>
        <w:t>5.</w:t>
      </w:r>
      <w:r w:rsidR="00745B78">
        <w:rPr>
          <w:rFonts w:cstheme="minorHAnsi"/>
          <w:b/>
        </w:rPr>
        <w:t>6</w:t>
      </w:r>
      <w:r w:rsidRPr="00373DC2">
        <w:rPr>
          <w:rFonts w:cstheme="minorHAnsi"/>
          <w:b/>
        </w:rPr>
        <w:t>.</w:t>
      </w:r>
      <w:r w:rsidR="000A246D" w:rsidRPr="00373DC2">
        <w:rPr>
          <w:rFonts w:cstheme="minorHAnsi"/>
          <w:b/>
        </w:rPr>
        <w:t>3</w:t>
      </w:r>
      <w:r w:rsidRPr="00373DC2">
        <w:rPr>
          <w:rFonts w:cstheme="minorHAnsi"/>
          <w:b/>
        </w:rPr>
        <w:t xml:space="preserve"> </w:t>
      </w:r>
      <w:r w:rsidR="00403270" w:rsidRPr="00373DC2">
        <w:rPr>
          <w:rFonts w:cstheme="minorHAnsi"/>
          <w:b/>
        </w:rPr>
        <w:t xml:space="preserve">Auswahlverfahren </w:t>
      </w:r>
    </w:p>
    <w:p w14:paraId="49480A59" w14:textId="70B485AE" w:rsidR="00C27090" w:rsidRPr="00373DC2" w:rsidRDefault="00DD5DD9" w:rsidP="00AA3131">
      <w:pPr>
        <w:pStyle w:val="Textkrper"/>
        <w:numPr>
          <w:ilvl w:val="0"/>
          <w:numId w:val="7"/>
        </w:numPr>
        <w:spacing w:line="240" w:lineRule="auto"/>
        <w:rPr>
          <w:rFonts w:cstheme="minorHAnsi"/>
        </w:rPr>
      </w:pPr>
      <w:r w:rsidRPr="00373DC2">
        <w:rPr>
          <w:rFonts w:cstheme="minorHAnsi"/>
        </w:rPr>
        <w:t>Die Bewilligung erfolgt durch</w:t>
      </w:r>
      <w:r w:rsidR="00C9572E" w:rsidRPr="00373DC2">
        <w:rPr>
          <w:rFonts w:cstheme="minorHAnsi"/>
        </w:rPr>
        <w:t xml:space="preserve"> ein </w:t>
      </w:r>
      <w:r w:rsidR="00535E2A" w:rsidRPr="00373DC2">
        <w:rPr>
          <w:rFonts w:cstheme="minorHAnsi"/>
        </w:rPr>
        <w:t>zweistufiges</w:t>
      </w:r>
      <w:r w:rsidR="00644488" w:rsidRPr="00373DC2">
        <w:rPr>
          <w:rFonts w:cstheme="minorHAnsi"/>
        </w:rPr>
        <w:t xml:space="preserve"> </w:t>
      </w:r>
      <w:r w:rsidR="00535E2A" w:rsidRPr="00373DC2">
        <w:rPr>
          <w:rFonts w:cstheme="minorHAnsi"/>
        </w:rPr>
        <w:t>Auswahlverfahren.</w:t>
      </w:r>
    </w:p>
    <w:p w14:paraId="3BE737A7" w14:textId="05FB101F" w:rsidR="00C27090" w:rsidRPr="00373DC2" w:rsidRDefault="00C27090" w:rsidP="00AA3131">
      <w:pPr>
        <w:pStyle w:val="Textkrper"/>
        <w:numPr>
          <w:ilvl w:val="0"/>
          <w:numId w:val="7"/>
        </w:numPr>
        <w:spacing w:line="240" w:lineRule="auto"/>
        <w:rPr>
          <w:rFonts w:cstheme="minorHAnsi"/>
        </w:rPr>
      </w:pPr>
      <w:r w:rsidRPr="00373DC2">
        <w:rPr>
          <w:rFonts w:cstheme="minorHAnsi"/>
        </w:rPr>
        <w:t>Im ersten Schritt ist eine Projektskizze elektronisch beim zuständigen Projektträger einzureichen. Die Projektskizze</w:t>
      </w:r>
      <w:r w:rsidRPr="00373DC2" w:rsidDel="00771956">
        <w:rPr>
          <w:rFonts w:cstheme="minorHAnsi"/>
        </w:rPr>
        <w:t xml:space="preserve"> </w:t>
      </w:r>
      <w:r w:rsidRPr="00373DC2">
        <w:rPr>
          <w:rFonts w:cstheme="minorHAnsi"/>
        </w:rPr>
        <w:t>muss neben einer technischen Beschreibung des Vorhabens</w:t>
      </w:r>
      <w:r w:rsidR="003C7393">
        <w:rPr>
          <w:rFonts w:cstheme="minorHAnsi"/>
        </w:rPr>
        <w:t>,</w:t>
      </w:r>
      <w:r w:rsidRPr="00373DC2">
        <w:rPr>
          <w:rFonts w:cstheme="minorHAnsi"/>
        </w:rPr>
        <w:t xml:space="preserve"> die Wahl des Teilmoduls, plausible Darlegungen über die Einhaltung der Mindestvoraussetzungen des Teilmoduls, den voraussichtlichen Finanzbedarf, Angaben zur geplanten Laufzeit, eine Beschreibung des technologischen Pfads zum Erreichen der Klimaschutzziele sowie Angaben zu den Auswahlkriterien enthalten. </w:t>
      </w:r>
      <w:r w:rsidR="003C7393">
        <w:rPr>
          <w:rFonts w:cstheme="minorHAnsi"/>
        </w:rPr>
        <w:t xml:space="preserve">Diese Liste kann durch gesonderte Bekanntmachung </w:t>
      </w:r>
      <w:r w:rsidR="00274BA7">
        <w:rPr>
          <w:rFonts w:cstheme="minorHAnsi"/>
        </w:rPr>
        <w:t xml:space="preserve">verändert und </w:t>
      </w:r>
      <w:r w:rsidR="003C7393">
        <w:rPr>
          <w:rFonts w:cstheme="minorHAnsi"/>
        </w:rPr>
        <w:t>erweitert werden.</w:t>
      </w:r>
    </w:p>
    <w:p w14:paraId="737D2B43" w14:textId="47663E43" w:rsidR="002A40C8" w:rsidRPr="00373DC2" w:rsidRDefault="00535E2A" w:rsidP="00AA3131">
      <w:pPr>
        <w:pStyle w:val="Textkrper"/>
        <w:numPr>
          <w:ilvl w:val="0"/>
          <w:numId w:val="7"/>
        </w:numPr>
        <w:spacing w:line="240" w:lineRule="auto"/>
        <w:rPr>
          <w:rFonts w:cstheme="minorHAnsi"/>
        </w:rPr>
      </w:pPr>
      <w:r w:rsidRPr="00373DC2">
        <w:rPr>
          <w:rFonts w:cstheme="minorHAnsi"/>
        </w:rPr>
        <w:t>Alle bis zum jeweiligen Stichtag, der durch Be</w:t>
      </w:r>
      <w:r w:rsidR="00D05B0B" w:rsidRPr="00373DC2">
        <w:rPr>
          <w:rFonts w:cstheme="minorHAnsi"/>
        </w:rPr>
        <w:t>kanntmachung veröffentlicht wird,</w:t>
      </w:r>
      <w:r w:rsidRPr="00373DC2">
        <w:rPr>
          <w:rFonts w:cstheme="minorHAnsi"/>
        </w:rPr>
        <w:t xml:space="preserve"> eingereichten Skizzen werden anhand der unter 5.5.</w:t>
      </w:r>
      <w:r w:rsidR="007D668D" w:rsidRPr="00373DC2">
        <w:rPr>
          <w:rFonts w:cstheme="minorHAnsi"/>
        </w:rPr>
        <w:t>4</w:t>
      </w:r>
      <w:r w:rsidRPr="00373DC2">
        <w:rPr>
          <w:rFonts w:cstheme="minorHAnsi"/>
        </w:rPr>
        <w:t xml:space="preserve"> aufgeführten Auswahlkriterien bewertet. Die besten Skizzen werden unter Berücksichtigung des tatsächlich verfügbaren Haushaltsvolumens nach pflichtgemäßem Ermessen ausgewählt und zur Antragstellung aufgefordert.</w:t>
      </w:r>
      <w:r w:rsidR="00D05B0B" w:rsidRPr="00373DC2">
        <w:rPr>
          <w:rFonts w:cstheme="minorHAnsi"/>
        </w:rPr>
        <w:t xml:space="preserve"> </w:t>
      </w:r>
      <w:r w:rsidR="00667C41" w:rsidRPr="00373DC2">
        <w:rPr>
          <w:rFonts w:cstheme="minorHAnsi"/>
        </w:rPr>
        <w:t xml:space="preserve">Bei gleicher Punktzahl, die entsprechend der Kriterien unter 5.5.4 ermittelt wird, entscheidet das Los. Eine Skizzeneinreichung unter Bedingung ist nicht möglich. </w:t>
      </w:r>
    </w:p>
    <w:p w14:paraId="365137EC" w14:textId="77777777" w:rsidR="00CC0627" w:rsidRDefault="001A3452" w:rsidP="00CC0627">
      <w:pPr>
        <w:pStyle w:val="Textkrper"/>
        <w:numPr>
          <w:ilvl w:val="0"/>
          <w:numId w:val="7"/>
        </w:numPr>
        <w:spacing w:line="240" w:lineRule="auto"/>
        <w:rPr>
          <w:rFonts w:cstheme="minorHAnsi"/>
        </w:rPr>
      </w:pPr>
      <w:r w:rsidRPr="002A40C8">
        <w:rPr>
          <w:rFonts w:cstheme="minorHAnsi"/>
        </w:rPr>
        <w:t>Im zweiten Schritt der Antragstellung ist ein schriftlicher Förderantrag über easy Online</w:t>
      </w:r>
      <w:r w:rsidRPr="00373DC2">
        <w:rPr>
          <w:rStyle w:val="Funotenzeichen"/>
          <w:rFonts w:cstheme="minorHAnsi"/>
        </w:rPr>
        <w:footnoteReference w:id="18"/>
      </w:r>
      <w:r w:rsidRPr="002A40C8">
        <w:rPr>
          <w:rFonts w:cstheme="minorHAnsi"/>
        </w:rPr>
        <w:t xml:space="preserve"> einzureichen. Im Antrag </w:t>
      </w:r>
      <w:r w:rsidR="00C76DED" w:rsidRPr="002A40C8">
        <w:rPr>
          <w:rFonts w:cstheme="minorHAnsi"/>
        </w:rPr>
        <w:t xml:space="preserve">sind die Angaben der Skizze </w:t>
      </w:r>
      <w:r w:rsidRPr="002A40C8">
        <w:rPr>
          <w:rFonts w:cstheme="minorHAnsi"/>
        </w:rPr>
        <w:t>detailliert zu begründen</w:t>
      </w:r>
      <w:r w:rsidR="00C76DED" w:rsidRPr="002A40C8">
        <w:rPr>
          <w:rFonts w:cstheme="minorHAnsi"/>
        </w:rPr>
        <w:t xml:space="preserve"> und nachzuweisen.</w:t>
      </w:r>
    </w:p>
    <w:p w14:paraId="660B1D31" w14:textId="5F00A1EF" w:rsidR="003C7393" w:rsidRPr="00CC0627" w:rsidRDefault="003C7393" w:rsidP="00CC0627">
      <w:pPr>
        <w:pStyle w:val="Textkrper"/>
        <w:numPr>
          <w:ilvl w:val="0"/>
          <w:numId w:val="7"/>
        </w:numPr>
        <w:spacing w:line="240" w:lineRule="auto"/>
        <w:rPr>
          <w:rFonts w:cstheme="minorHAnsi"/>
        </w:rPr>
      </w:pPr>
      <w:r w:rsidRPr="00CC0627">
        <w:rPr>
          <w:rFonts w:cstheme="minorHAnsi"/>
        </w:rPr>
        <w:t xml:space="preserve">Die Antragsteller müssen neben dem Antrag einen Finanzierungsplan einreichen, in dem alle Zuwendungen (auch die anderer Beihilfegeber) für das Projekt anzugeben sind. Bei Förderungen von mehr als 15 Mio. Euro gehört hierzu auch die Bestätigung der Landeskofinanzierung.  </w:t>
      </w:r>
    </w:p>
    <w:p w14:paraId="300EFAA4" w14:textId="0C8DB6A7" w:rsidR="001A3452" w:rsidRDefault="003C7393" w:rsidP="009115CD">
      <w:pPr>
        <w:pStyle w:val="Textkrper"/>
        <w:numPr>
          <w:ilvl w:val="0"/>
          <w:numId w:val="7"/>
        </w:numPr>
        <w:spacing w:after="160" w:line="240" w:lineRule="auto"/>
        <w:ind w:left="714" w:hanging="357"/>
        <w:rPr>
          <w:rFonts w:cstheme="minorHAnsi"/>
        </w:rPr>
      </w:pPr>
      <w:r w:rsidRPr="00373DC2">
        <w:rPr>
          <w:rFonts w:cstheme="minorHAnsi"/>
        </w:rPr>
        <w:t>Näheres zum Antragsverfahren wird in gesonderten Bekanntmachungen veröffentlicht.</w:t>
      </w:r>
      <w:r w:rsidR="009115CD">
        <w:rPr>
          <w:rFonts w:cstheme="minorHAnsi"/>
        </w:rPr>
        <w:t xml:space="preserve"> </w:t>
      </w:r>
    </w:p>
    <w:p w14:paraId="11D2F61D" w14:textId="3C2453CD" w:rsidR="00D401A3" w:rsidRPr="00373DC2" w:rsidRDefault="00173DF4" w:rsidP="00504AB3">
      <w:pPr>
        <w:pStyle w:val="Textkrper"/>
        <w:spacing w:line="240" w:lineRule="auto"/>
        <w:rPr>
          <w:rFonts w:cstheme="minorHAnsi"/>
          <w:b/>
        </w:rPr>
      </w:pPr>
      <w:r w:rsidRPr="00373DC2">
        <w:rPr>
          <w:rFonts w:cstheme="minorHAnsi"/>
          <w:b/>
        </w:rPr>
        <w:t>5.</w:t>
      </w:r>
      <w:r w:rsidR="00745B78">
        <w:rPr>
          <w:rFonts w:cstheme="minorHAnsi"/>
          <w:b/>
        </w:rPr>
        <w:t>6</w:t>
      </w:r>
      <w:r w:rsidRPr="00373DC2">
        <w:rPr>
          <w:rFonts w:cstheme="minorHAnsi"/>
          <w:b/>
        </w:rPr>
        <w:t>.</w:t>
      </w:r>
      <w:r w:rsidR="007D668D" w:rsidRPr="00373DC2">
        <w:rPr>
          <w:rFonts w:cstheme="minorHAnsi"/>
          <w:b/>
        </w:rPr>
        <w:t>4</w:t>
      </w:r>
      <w:r w:rsidRPr="00373DC2">
        <w:rPr>
          <w:rFonts w:cstheme="minorHAnsi"/>
          <w:b/>
        </w:rPr>
        <w:t xml:space="preserve"> </w:t>
      </w:r>
      <w:bookmarkStart w:id="30" w:name="_Hlk146034730"/>
      <w:r w:rsidR="00403270" w:rsidRPr="00373DC2">
        <w:rPr>
          <w:rFonts w:cstheme="minorHAnsi"/>
          <w:b/>
        </w:rPr>
        <w:t>Auswahlkriterien</w:t>
      </w:r>
      <w:bookmarkEnd w:id="30"/>
    </w:p>
    <w:p w14:paraId="580BCB46" w14:textId="144FE504" w:rsidR="00D05B0B" w:rsidRPr="00373DC2" w:rsidRDefault="00D05B0B" w:rsidP="00AA3131">
      <w:pPr>
        <w:pStyle w:val="Textkrper"/>
        <w:numPr>
          <w:ilvl w:val="0"/>
          <w:numId w:val="12"/>
        </w:numPr>
        <w:spacing w:line="240" w:lineRule="auto"/>
        <w:rPr>
          <w:rFonts w:cstheme="minorHAnsi"/>
        </w:rPr>
      </w:pPr>
      <w:r w:rsidRPr="00373DC2">
        <w:rPr>
          <w:rFonts w:cstheme="minorHAnsi"/>
        </w:rPr>
        <w:t>Die Auswahl der Vorhaben im Skizzenverfahren erfolgt anhand folgender Kriterien</w:t>
      </w:r>
      <w:r w:rsidR="000349C5" w:rsidRPr="00373DC2">
        <w:rPr>
          <w:rFonts w:cstheme="minorHAnsi"/>
        </w:rPr>
        <w:t>,</w:t>
      </w:r>
      <w:r w:rsidRPr="00373DC2">
        <w:rPr>
          <w:rFonts w:cstheme="minorHAnsi"/>
        </w:rPr>
        <w:t xml:space="preserve"> die </w:t>
      </w:r>
      <w:r w:rsidR="000349C5" w:rsidRPr="00373DC2">
        <w:rPr>
          <w:rFonts w:cstheme="minorHAnsi"/>
        </w:rPr>
        <w:t xml:space="preserve">in der Skizze </w:t>
      </w:r>
      <w:r w:rsidRPr="00373DC2">
        <w:rPr>
          <w:rFonts w:cstheme="minorHAnsi"/>
        </w:rPr>
        <w:t>konkret ausgeführt werden müssen.</w:t>
      </w:r>
      <w:r w:rsidR="005F33A7" w:rsidRPr="00373DC2">
        <w:rPr>
          <w:rFonts w:cstheme="minorHAnsi"/>
        </w:rPr>
        <w:t xml:space="preserve"> Insgesamt kann eine Skizze zwischen 0 und 100 Punkte erhalten.</w:t>
      </w:r>
    </w:p>
    <w:p w14:paraId="2B196F4B" w14:textId="17410F7C" w:rsidR="005F33A7" w:rsidRPr="00373DC2" w:rsidRDefault="000349C5" w:rsidP="00AA3131">
      <w:pPr>
        <w:pStyle w:val="Textkrper"/>
        <w:numPr>
          <w:ilvl w:val="0"/>
          <w:numId w:val="12"/>
        </w:numPr>
        <w:spacing w:line="240" w:lineRule="auto"/>
        <w:rPr>
          <w:rFonts w:cstheme="minorHAnsi"/>
        </w:rPr>
      </w:pPr>
      <w:r w:rsidRPr="00373DC2">
        <w:rPr>
          <w:rFonts w:cstheme="minorHAnsi"/>
        </w:rPr>
        <w:t xml:space="preserve">Die voraussichtliche </w:t>
      </w:r>
      <w:r w:rsidR="00526316" w:rsidRPr="00373DC2">
        <w:rPr>
          <w:rFonts w:cstheme="minorHAnsi"/>
        </w:rPr>
        <w:t xml:space="preserve">Fördermitteleffizienz wird </w:t>
      </w:r>
      <w:r w:rsidRPr="00373DC2">
        <w:rPr>
          <w:rFonts w:cstheme="minorHAnsi"/>
        </w:rPr>
        <w:t xml:space="preserve">mit </w:t>
      </w:r>
      <w:r w:rsidR="005F33A7" w:rsidRPr="00373DC2">
        <w:rPr>
          <w:rFonts w:cstheme="minorHAnsi"/>
        </w:rPr>
        <w:t xml:space="preserve">maximal </w:t>
      </w:r>
      <w:r w:rsidR="000A246D" w:rsidRPr="00373DC2">
        <w:rPr>
          <w:rFonts w:cstheme="minorHAnsi"/>
        </w:rPr>
        <w:t>7</w:t>
      </w:r>
      <w:r w:rsidRPr="00373DC2">
        <w:rPr>
          <w:rFonts w:cstheme="minorHAnsi"/>
        </w:rPr>
        <w:t>0</w:t>
      </w:r>
      <w:r w:rsidR="005F33A7" w:rsidRPr="00373DC2">
        <w:rPr>
          <w:rFonts w:cstheme="minorHAnsi"/>
        </w:rPr>
        <w:t xml:space="preserve"> Punkten bewertet, wobei </w:t>
      </w:r>
      <w:r w:rsidR="004430E6" w:rsidRPr="00373DC2">
        <w:rPr>
          <w:rFonts w:cstheme="minorHAnsi"/>
        </w:rPr>
        <w:t xml:space="preserve">das Projekt mit der </w:t>
      </w:r>
      <w:r w:rsidR="005F33A7" w:rsidRPr="00373DC2">
        <w:rPr>
          <w:rFonts w:cstheme="minorHAnsi"/>
        </w:rPr>
        <w:t>höchste</w:t>
      </w:r>
      <w:r w:rsidR="004430E6" w:rsidRPr="00373DC2">
        <w:rPr>
          <w:rFonts w:cstheme="minorHAnsi"/>
        </w:rPr>
        <w:t>n</w:t>
      </w:r>
      <w:r w:rsidR="005F33A7" w:rsidRPr="00373DC2">
        <w:rPr>
          <w:rFonts w:cstheme="minorHAnsi"/>
        </w:rPr>
        <w:t xml:space="preserve"> voraussichtliche</w:t>
      </w:r>
      <w:r w:rsidR="004430E6" w:rsidRPr="00373DC2">
        <w:rPr>
          <w:rFonts w:cstheme="minorHAnsi"/>
        </w:rPr>
        <w:t>n</w:t>
      </w:r>
      <w:r w:rsidR="005F33A7" w:rsidRPr="00373DC2">
        <w:rPr>
          <w:rFonts w:cstheme="minorHAnsi"/>
        </w:rPr>
        <w:t xml:space="preserve"> Fördermitteleffizienz </w:t>
      </w:r>
      <w:r w:rsidR="004430E6" w:rsidRPr="00373DC2">
        <w:rPr>
          <w:rFonts w:cstheme="minorHAnsi"/>
        </w:rPr>
        <w:t xml:space="preserve">in diesem Teilmodul </w:t>
      </w:r>
      <w:r w:rsidR="005F33A7" w:rsidRPr="00373DC2">
        <w:rPr>
          <w:rFonts w:cstheme="minorHAnsi"/>
        </w:rPr>
        <w:t xml:space="preserve">70 Punkte und </w:t>
      </w:r>
      <w:r w:rsidR="004430E6" w:rsidRPr="00373DC2">
        <w:rPr>
          <w:rFonts w:cstheme="minorHAnsi"/>
        </w:rPr>
        <w:t xml:space="preserve">das Projekt mit der </w:t>
      </w:r>
      <w:r w:rsidR="005F33A7" w:rsidRPr="00373DC2">
        <w:rPr>
          <w:rFonts w:cstheme="minorHAnsi"/>
        </w:rPr>
        <w:t>niedrigste</w:t>
      </w:r>
      <w:r w:rsidR="004430E6" w:rsidRPr="00373DC2">
        <w:rPr>
          <w:rFonts w:cstheme="minorHAnsi"/>
        </w:rPr>
        <w:t>n</w:t>
      </w:r>
      <w:r w:rsidR="005F33A7" w:rsidRPr="00373DC2">
        <w:rPr>
          <w:rFonts w:cstheme="minorHAnsi"/>
        </w:rPr>
        <w:t xml:space="preserve"> 0 Punkte erreicht. Alle anderen Projekte erhalten Punkte entsprechend der folgenden Formel: </w:t>
      </w:r>
    </w:p>
    <w:p w14:paraId="7428AB0B" w14:textId="498A8B4D" w:rsidR="005F33A7" w:rsidRPr="00373DC2" w:rsidRDefault="005F33A7" w:rsidP="00504AB3">
      <w:pPr>
        <w:pStyle w:val="Textkrper"/>
        <w:spacing w:line="240" w:lineRule="auto"/>
        <w:ind w:left="720"/>
        <w:rPr>
          <w:rFonts w:cstheme="minorHAnsi"/>
        </w:rPr>
      </w:pPr>
      <m:oMathPara>
        <m:oMath>
          <m:r>
            <w:rPr>
              <w:rFonts w:ascii="Cambria Math" w:hAnsi="Cambria Math" w:cstheme="minorHAnsi"/>
            </w:rPr>
            <w:lastRenderedPageBreak/>
            <m:t xml:space="preserve">70 ×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FE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FE</m:t>
                  </m:r>
                </m:e>
                <m:sub>
                  <m:r>
                    <w:rPr>
                      <w:rFonts w:ascii="Cambria Math" w:hAnsi="Cambria Math" w:cstheme="minorHAnsi"/>
                    </w:rPr>
                    <m:t>min</m:t>
                  </m:r>
                </m:sub>
              </m:sSub>
            </m:num>
            <m:den>
              <m:sSub>
                <m:sSubPr>
                  <m:ctrlPr>
                    <w:rPr>
                      <w:rFonts w:ascii="Cambria Math" w:hAnsi="Cambria Math" w:cstheme="minorHAnsi"/>
                      <w:i/>
                    </w:rPr>
                  </m:ctrlPr>
                </m:sSubPr>
                <m:e>
                  <m:r>
                    <w:rPr>
                      <w:rFonts w:ascii="Cambria Math" w:hAnsi="Cambria Math" w:cstheme="minorHAnsi"/>
                    </w:rPr>
                    <m:t>FE</m:t>
                  </m:r>
                </m:e>
                <m:sub>
                  <m:r>
                    <w:rPr>
                      <w:rFonts w:ascii="Cambria Math" w:hAnsi="Cambria Math" w:cstheme="minorHAnsi"/>
                    </w:rPr>
                    <m:t>max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FE</m:t>
                  </m:r>
                </m:e>
                <m:sub>
                  <m:r>
                    <w:rPr>
                      <w:rFonts w:ascii="Cambria Math" w:hAnsi="Cambria Math" w:cstheme="minorHAnsi"/>
                    </w:rPr>
                    <m:t>min</m:t>
                  </m:r>
                </m:sub>
              </m:sSub>
            </m:den>
          </m:f>
          <m:r>
            <w:rPr>
              <w:rFonts w:ascii="Cambria Math" w:hAnsi="Cambria Math" w:cstheme="minorHAnsi"/>
            </w:rPr>
            <m:t xml:space="preserve"> </m:t>
          </m:r>
        </m:oMath>
      </m:oMathPara>
    </w:p>
    <w:p w14:paraId="4E470271" w14:textId="18F27863" w:rsidR="00C9572E" w:rsidRPr="00373DC2" w:rsidRDefault="004430E6" w:rsidP="00504AB3">
      <w:pPr>
        <w:pStyle w:val="Textkrper"/>
        <w:spacing w:line="240" w:lineRule="auto"/>
        <w:ind w:left="720"/>
        <w:rPr>
          <w:rFonts w:cstheme="minorHAnsi"/>
        </w:rPr>
      </w:pPr>
      <w:r w:rsidRPr="00373DC2">
        <w:rPr>
          <w:rFonts w:cstheme="minorHAnsi"/>
        </w:rPr>
        <w:t xml:space="preserve">wobei </w:t>
      </w:r>
      <w:proofErr w:type="spellStart"/>
      <w:r w:rsidRPr="00373DC2">
        <w:rPr>
          <w:rFonts w:cstheme="minorHAnsi"/>
        </w:rPr>
        <w:t>FE</w:t>
      </w:r>
      <w:r w:rsidRPr="00373DC2">
        <w:rPr>
          <w:rFonts w:cstheme="minorHAnsi"/>
          <w:vertAlign w:val="subscript"/>
        </w:rPr>
        <w:t>i</w:t>
      </w:r>
      <w:proofErr w:type="spellEnd"/>
      <w:r w:rsidRPr="00373DC2">
        <w:rPr>
          <w:rFonts w:cstheme="minorHAnsi"/>
        </w:rPr>
        <w:t xml:space="preserve"> die voraussichtliche</w:t>
      </w:r>
      <w:r w:rsidRPr="00373DC2" w:rsidDel="00771956">
        <w:rPr>
          <w:rFonts w:cstheme="minorHAnsi"/>
        </w:rPr>
        <w:t xml:space="preserve"> </w:t>
      </w:r>
      <w:r w:rsidRPr="00373DC2">
        <w:rPr>
          <w:rFonts w:cstheme="minorHAnsi"/>
        </w:rPr>
        <w:t xml:space="preserve">Fördermitteleffizienz bezeichnet, </w:t>
      </w:r>
      <w:proofErr w:type="spellStart"/>
      <w:r w:rsidRPr="00373DC2">
        <w:rPr>
          <w:rFonts w:cstheme="minorHAnsi"/>
        </w:rPr>
        <w:t>FE</w:t>
      </w:r>
      <w:r w:rsidRPr="00373DC2">
        <w:rPr>
          <w:rFonts w:cstheme="minorHAnsi"/>
          <w:vertAlign w:val="subscript"/>
        </w:rPr>
        <w:t>max</w:t>
      </w:r>
      <w:proofErr w:type="spellEnd"/>
      <w:r w:rsidRPr="00373DC2">
        <w:rPr>
          <w:rFonts w:cstheme="minorHAnsi"/>
        </w:rPr>
        <w:t xml:space="preserve"> die maximale Fördermitteleffizienz der eingereichten Projekte in diesem Teilmodul und </w:t>
      </w:r>
      <w:proofErr w:type="spellStart"/>
      <w:r w:rsidRPr="00373DC2">
        <w:rPr>
          <w:rFonts w:cstheme="minorHAnsi"/>
        </w:rPr>
        <w:t>FE</w:t>
      </w:r>
      <w:r w:rsidRPr="00373DC2">
        <w:rPr>
          <w:rFonts w:cstheme="minorHAnsi"/>
          <w:vertAlign w:val="subscript"/>
        </w:rPr>
        <w:t>min</w:t>
      </w:r>
      <w:proofErr w:type="spellEnd"/>
      <w:r w:rsidRPr="00373DC2">
        <w:rPr>
          <w:rFonts w:cstheme="minorHAnsi"/>
        </w:rPr>
        <w:t xml:space="preserve"> die minimale Fördermitteleffizienz der eingereichten Projekte in diesem Teilmodul bezeichnet. </w:t>
      </w:r>
      <w:r w:rsidR="000349C5" w:rsidRPr="00373DC2">
        <w:rPr>
          <w:rFonts w:cstheme="minorHAnsi"/>
        </w:rPr>
        <w:t>Die voraussichtliche</w:t>
      </w:r>
      <w:r w:rsidR="000349C5" w:rsidRPr="00373DC2" w:rsidDel="00771956">
        <w:rPr>
          <w:rFonts w:cstheme="minorHAnsi"/>
        </w:rPr>
        <w:t xml:space="preserve"> </w:t>
      </w:r>
      <w:r w:rsidR="00526316" w:rsidRPr="00373DC2">
        <w:rPr>
          <w:rFonts w:cstheme="minorHAnsi"/>
        </w:rPr>
        <w:t xml:space="preserve">Fördermitteleffizienz </w:t>
      </w:r>
      <w:r w:rsidR="000A71E1" w:rsidRPr="00373DC2">
        <w:rPr>
          <w:rFonts w:cstheme="minorHAnsi"/>
        </w:rPr>
        <w:t>w</w:t>
      </w:r>
      <w:r w:rsidR="00614379" w:rsidRPr="00373DC2">
        <w:rPr>
          <w:rFonts w:cstheme="minorHAnsi"/>
        </w:rPr>
        <w:t xml:space="preserve">ird </w:t>
      </w:r>
      <w:r w:rsidR="000349C5" w:rsidRPr="00373DC2">
        <w:rPr>
          <w:rFonts w:cstheme="minorHAnsi"/>
        </w:rPr>
        <w:t xml:space="preserve">wie folgt </w:t>
      </w:r>
      <w:r w:rsidR="00C9572E" w:rsidRPr="00373DC2">
        <w:rPr>
          <w:rFonts w:cstheme="minorHAnsi"/>
        </w:rPr>
        <w:t>gemessen</w:t>
      </w:r>
      <w:r w:rsidR="000349C5" w:rsidRPr="00373DC2">
        <w:rPr>
          <w:rFonts w:cstheme="minorHAnsi"/>
        </w:rPr>
        <w:t>:</w:t>
      </w:r>
    </w:p>
    <w:p w14:paraId="153598B2" w14:textId="66DCE8EF" w:rsidR="00C9572E" w:rsidRPr="00373DC2" w:rsidRDefault="00C9572E" w:rsidP="00FF125D">
      <w:pPr>
        <w:pStyle w:val="Textkrper"/>
        <w:numPr>
          <w:ilvl w:val="0"/>
          <w:numId w:val="47"/>
        </w:numPr>
        <w:spacing w:line="240" w:lineRule="auto"/>
        <w:ind w:left="1134"/>
        <w:rPr>
          <w:rFonts w:cstheme="minorHAnsi"/>
        </w:rPr>
      </w:pPr>
      <w:r w:rsidRPr="00373DC2">
        <w:rPr>
          <w:rFonts w:cstheme="minorHAnsi"/>
        </w:rPr>
        <w:t xml:space="preserve">bei Investitionsprojekten </w:t>
      </w:r>
      <w:r w:rsidR="0076170D" w:rsidRPr="00373DC2">
        <w:rPr>
          <w:rFonts w:cstheme="minorHAnsi"/>
        </w:rPr>
        <w:t>der Teilmodule 1</w:t>
      </w:r>
      <w:r w:rsidR="00526324" w:rsidRPr="00373DC2">
        <w:rPr>
          <w:rFonts w:cstheme="minorHAnsi"/>
        </w:rPr>
        <w:t xml:space="preserve"> und 2</w:t>
      </w:r>
      <w:r w:rsidR="00771956" w:rsidRPr="00373DC2">
        <w:rPr>
          <w:rFonts w:cstheme="minorHAnsi"/>
        </w:rPr>
        <w:t xml:space="preserve"> </w:t>
      </w:r>
      <w:r w:rsidRPr="00373DC2">
        <w:rPr>
          <w:rFonts w:cstheme="minorHAnsi"/>
        </w:rPr>
        <w:t xml:space="preserve">an der erwarteten absoluten kumulierten Minderung </w:t>
      </w:r>
      <w:r w:rsidR="00526316" w:rsidRPr="00373DC2">
        <w:rPr>
          <w:rFonts w:cstheme="minorHAnsi"/>
        </w:rPr>
        <w:t xml:space="preserve">von </w:t>
      </w:r>
      <w:r w:rsidRPr="00373DC2">
        <w:rPr>
          <w:rFonts w:cstheme="minorHAnsi"/>
        </w:rPr>
        <w:t>Treibhausgasemissionen</w:t>
      </w:r>
      <w:r w:rsidR="00415E48" w:rsidRPr="00373DC2">
        <w:rPr>
          <w:rStyle w:val="Funotenzeichen"/>
          <w:rFonts w:cstheme="minorHAnsi"/>
        </w:rPr>
        <w:footnoteReference w:id="19"/>
      </w:r>
      <w:r w:rsidRPr="00373DC2">
        <w:rPr>
          <w:rFonts w:cstheme="minorHAnsi"/>
        </w:rPr>
        <w:t xml:space="preserve"> innerhalb von 10 Jahren nach Projektbeginn </w:t>
      </w:r>
      <w:r w:rsidR="00526316" w:rsidRPr="00373DC2">
        <w:rPr>
          <w:rFonts w:cstheme="minorHAnsi"/>
        </w:rPr>
        <w:t>geteilt durch die</w:t>
      </w:r>
      <w:r w:rsidRPr="00373DC2">
        <w:rPr>
          <w:rFonts w:cstheme="minorHAnsi"/>
        </w:rPr>
        <w:t xml:space="preserve"> beantragten Fördermittel,</w:t>
      </w:r>
    </w:p>
    <w:p w14:paraId="699C3771" w14:textId="029FD1F1" w:rsidR="000349C5" w:rsidRPr="00373DC2" w:rsidRDefault="00C9572E" w:rsidP="00FF125D">
      <w:pPr>
        <w:pStyle w:val="Textkrper"/>
        <w:numPr>
          <w:ilvl w:val="0"/>
          <w:numId w:val="47"/>
        </w:numPr>
        <w:spacing w:line="240" w:lineRule="auto"/>
        <w:ind w:left="1134"/>
        <w:rPr>
          <w:rFonts w:cstheme="minorHAnsi"/>
        </w:rPr>
      </w:pPr>
      <w:r w:rsidRPr="00373DC2">
        <w:rPr>
          <w:rFonts w:cstheme="minorHAnsi"/>
        </w:rPr>
        <w:t>bei Forschungs- und Entwicklungs</w:t>
      </w:r>
      <w:r w:rsidR="00F03541" w:rsidRPr="00373DC2">
        <w:rPr>
          <w:rFonts w:cstheme="minorHAnsi"/>
        </w:rPr>
        <w:t>vorhaben</w:t>
      </w:r>
      <w:r w:rsidRPr="00373DC2">
        <w:rPr>
          <w:rFonts w:cstheme="minorHAnsi"/>
        </w:rPr>
        <w:t xml:space="preserve"> nach </w:t>
      </w:r>
      <w:r w:rsidR="0076170D" w:rsidRPr="00373DC2">
        <w:rPr>
          <w:rFonts w:cstheme="minorHAnsi"/>
        </w:rPr>
        <w:t>Teilmodul 3</w:t>
      </w:r>
      <w:r w:rsidRPr="00373DC2">
        <w:rPr>
          <w:rFonts w:cstheme="minorHAnsi"/>
        </w:rPr>
        <w:t xml:space="preserve"> an der unter Berücksichtigung der technischen Umsetzbarkeit erwarteten </w:t>
      </w:r>
      <w:r w:rsidR="00526316" w:rsidRPr="00373DC2">
        <w:rPr>
          <w:rFonts w:cstheme="minorHAnsi"/>
        </w:rPr>
        <w:t xml:space="preserve">Fördermitteleffizienz gemessen an der </w:t>
      </w:r>
      <w:r w:rsidRPr="00373DC2">
        <w:rPr>
          <w:rFonts w:cstheme="minorHAnsi"/>
        </w:rPr>
        <w:t xml:space="preserve">absoluten kumulierten Minderung innerhalb von 15 Jahren nach Projektbeginn </w:t>
      </w:r>
      <w:r w:rsidR="00526316" w:rsidRPr="00373DC2">
        <w:rPr>
          <w:rFonts w:cstheme="minorHAnsi"/>
        </w:rPr>
        <w:t xml:space="preserve">geteilt durch die </w:t>
      </w:r>
      <w:r w:rsidRPr="00373DC2">
        <w:rPr>
          <w:rFonts w:cstheme="minorHAnsi"/>
        </w:rPr>
        <w:t>beantragten Fördermittel.</w:t>
      </w:r>
    </w:p>
    <w:p w14:paraId="014D3EFC" w14:textId="59950925" w:rsidR="000349C5" w:rsidRPr="00373DC2" w:rsidRDefault="000349C5" w:rsidP="00AA3131">
      <w:pPr>
        <w:pStyle w:val="Listenabsatz"/>
        <w:numPr>
          <w:ilvl w:val="0"/>
          <w:numId w:val="12"/>
        </w:numPr>
        <w:spacing w:line="240" w:lineRule="auto"/>
        <w:rPr>
          <w:rFonts w:cstheme="minorHAnsi"/>
        </w:rPr>
      </w:pPr>
      <w:r w:rsidRPr="00373DC2">
        <w:rPr>
          <w:rFonts w:cstheme="minorHAnsi"/>
        </w:rPr>
        <w:t xml:space="preserve">Mit </w:t>
      </w:r>
      <w:r w:rsidR="004430E6" w:rsidRPr="00373DC2">
        <w:rPr>
          <w:rFonts w:cstheme="minorHAnsi"/>
        </w:rPr>
        <w:t xml:space="preserve">maximal </w:t>
      </w:r>
      <w:r w:rsidRPr="00373DC2">
        <w:rPr>
          <w:rFonts w:cstheme="minorHAnsi"/>
        </w:rPr>
        <w:t>2</w:t>
      </w:r>
      <w:r w:rsidR="000A246D" w:rsidRPr="00373DC2">
        <w:rPr>
          <w:rFonts w:cstheme="minorHAnsi"/>
        </w:rPr>
        <w:t>0</w:t>
      </w:r>
      <w:r w:rsidRPr="00373DC2">
        <w:rPr>
          <w:rFonts w:cstheme="minorHAnsi"/>
        </w:rPr>
        <w:t xml:space="preserve"> </w:t>
      </w:r>
      <w:r w:rsidR="004430E6" w:rsidRPr="00373DC2">
        <w:rPr>
          <w:rFonts w:cstheme="minorHAnsi"/>
        </w:rPr>
        <w:t xml:space="preserve">Punkten </w:t>
      </w:r>
      <w:r w:rsidRPr="00373DC2">
        <w:rPr>
          <w:rFonts w:cstheme="minorHAnsi"/>
        </w:rPr>
        <w:t>werden die Innovativität</w:t>
      </w:r>
      <w:r w:rsidR="002F4B34" w:rsidRPr="00373DC2">
        <w:rPr>
          <w:rStyle w:val="Funotenzeichen"/>
          <w:rFonts w:cstheme="minorHAnsi"/>
        </w:rPr>
        <w:footnoteReference w:id="20"/>
      </w:r>
      <w:r w:rsidRPr="00373DC2">
        <w:rPr>
          <w:rFonts w:cstheme="minorHAnsi"/>
        </w:rPr>
        <w:t xml:space="preserve"> </w:t>
      </w:r>
      <w:r w:rsidR="001B1FE1" w:rsidRPr="00373DC2">
        <w:rPr>
          <w:rFonts w:cstheme="minorHAnsi"/>
        </w:rPr>
        <w:t xml:space="preserve">und </w:t>
      </w:r>
      <w:r w:rsidRPr="00373DC2">
        <w:rPr>
          <w:rFonts w:cstheme="minorHAnsi"/>
        </w:rPr>
        <w:t>der Demonstrationscharakter im Rahmen der spezifischen Gegebenheiten des betroffenen Industriesektors gewert</w:t>
      </w:r>
      <w:r w:rsidR="005C40C2" w:rsidRPr="00373DC2">
        <w:rPr>
          <w:rFonts w:cstheme="minorHAnsi"/>
        </w:rPr>
        <w:t>et.</w:t>
      </w:r>
    </w:p>
    <w:p w14:paraId="733E7FBA" w14:textId="597C34F8" w:rsidR="00C9572E" w:rsidRPr="00373DC2" w:rsidRDefault="005C40C2" w:rsidP="00AA3131">
      <w:pPr>
        <w:pStyle w:val="Textkrper"/>
        <w:numPr>
          <w:ilvl w:val="0"/>
          <w:numId w:val="12"/>
        </w:numPr>
        <w:spacing w:line="240" w:lineRule="auto"/>
        <w:rPr>
          <w:rFonts w:cstheme="minorHAnsi"/>
        </w:rPr>
      </w:pPr>
      <w:r w:rsidRPr="00373DC2">
        <w:rPr>
          <w:rFonts w:cstheme="minorHAnsi"/>
        </w:rPr>
        <w:t xml:space="preserve">Mit </w:t>
      </w:r>
      <w:r w:rsidR="001B1FE1" w:rsidRPr="00373DC2">
        <w:rPr>
          <w:rFonts w:cstheme="minorHAnsi"/>
        </w:rPr>
        <w:t xml:space="preserve">insgesamt maximal 10 Punkten </w:t>
      </w:r>
      <w:r w:rsidRPr="00373DC2">
        <w:rPr>
          <w:rFonts w:cstheme="minorHAnsi"/>
        </w:rPr>
        <w:t xml:space="preserve">werden die </w:t>
      </w:r>
      <w:r w:rsidR="00C9572E" w:rsidRPr="00373DC2">
        <w:rPr>
          <w:rFonts w:cstheme="minorHAnsi"/>
        </w:rPr>
        <w:t>folgende</w:t>
      </w:r>
      <w:r w:rsidR="0076170D" w:rsidRPr="00373DC2">
        <w:rPr>
          <w:rFonts w:cstheme="minorHAnsi"/>
        </w:rPr>
        <w:t>n</w:t>
      </w:r>
      <w:r w:rsidR="00C9572E" w:rsidRPr="00373DC2">
        <w:rPr>
          <w:rFonts w:cstheme="minorHAnsi"/>
        </w:rPr>
        <w:t xml:space="preserve"> </w:t>
      </w:r>
      <w:r w:rsidRPr="00373DC2">
        <w:rPr>
          <w:rFonts w:cstheme="minorHAnsi"/>
        </w:rPr>
        <w:t>Kriterien gewertet</w:t>
      </w:r>
      <w:r w:rsidR="008C7AC2" w:rsidRPr="00373DC2">
        <w:rPr>
          <w:rFonts w:cstheme="minorHAnsi"/>
        </w:rPr>
        <w:t xml:space="preserve">; für ein konkretes Vorhaben nicht einschlägige Kriterien </w:t>
      </w:r>
      <w:r w:rsidR="00965395" w:rsidRPr="00373DC2">
        <w:rPr>
          <w:rFonts w:cstheme="minorHAnsi"/>
        </w:rPr>
        <w:t xml:space="preserve">unter a) und d) </w:t>
      </w:r>
      <w:r w:rsidR="008C7AC2" w:rsidRPr="00373DC2">
        <w:rPr>
          <w:rFonts w:cstheme="minorHAnsi"/>
        </w:rPr>
        <w:t>werden nicht negativ bewertet</w:t>
      </w:r>
      <w:r w:rsidR="00C9572E" w:rsidRPr="00373DC2">
        <w:rPr>
          <w:rFonts w:cstheme="minorHAnsi"/>
        </w:rPr>
        <w:t xml:space="preserve">: </w:t>
      </w:r>
    </w:p>
    <w:p w14:paraId="4CE588D6" w14:textId="306085C3" w:rsidR="0076170D" w:rsidRPr="00373DC2" w:rsidRDefault="00C1112D" w:rsidP="002A40C8">
      <w:pPr>
        <w:pStyle w:val="Listenabsatz"/>
        <w:numPr>
          <w:ilvl w:val="0"/>
          <w:numId w:val="14"/>
        </w:numPr>
        <w:spacing w:line="240" w:lineRule="auto"/>
        <w:ind w:left="1066" w:hanging="357"/>
        <w:contextualSpacing w:val="0"/>
        <w:rPr>
          <w:rFonts w:cstheme="minorHAnsi"/>
        </w:rPr>
      </w:pPr>
      <w:r w:rsidRPr="00373DC2">
        <w:rPr>
          <w:rFonts w:cstheme="minorHAnsi"/>
        </w:rPr>
        <w:t xml:space="preserve">über 5.5.4 (2) hinausgehende Umwelt- </w:t>
      </w:r>
      <w:r w:rsidR="0076170D" w:rsidRPr="00373DC2">
        <w:rPr>
          <w:rFonts w:cstheme="minorHAnsi"/>
        </w:rPr>
        <w:t>und Cross Media Effekte,</w:t>
      </w:r>
    </w:p>
    <w:p w14:paraId="5F1C05F0" w14:textId="77777777" w:rsidR="00C1112D" w:rsidRPr="00373DC2" w:rsidRDefault="00C1112D" w:rsidP="002A40C8">
      <w:pPr>
        <w:pStyle w:val="Listenabsatz"/>
        <w:numPr>
          <w:ilvl w:val="0"/>
          <w:numId w:val="14"/>
        </w:numPr>
        <w:spacing w:line="240" w:lineRule="auto"/>
        <w:ind w:left="1066" w:hanging="357"/>
        <w:contextualSpacing w:val="0"/>
        <w:rPr>
          <w:rFonts w:cstheme="minorHAnsi"/>
        </w:rPr>
      </w:pPr>
      <w:r w:rsidRPr="00373DC2">
        <w:rPr>
          <w:rFonts w:cstheme="minorHAnsi"/>
        </w:rPr>
        <w:t xml:space="preserve">besonders effizienter und nachhaltiger Energie- und Materialeinsatz, </w:t>
      </w:r>
    </w:p>
    <w:p w14:paraId="511CB25D" w14:textId="77777777" w:rsidR="00C9572E" w:rsidRPr="00373DC2" w:rsidRDefault="00C9572E" w:rsidP="002A40C8">
      <w:pPr>
        <w:pStyle w:val="Listenabsatz"/>
        <w:numPr>
          <w:ilvl w:val="0"/>
          <w:numId w:val="14"/>
        </w:numPr>
        <w:spacing w:line="240" w:lineRule="auto"/>
        <w:ind w:left="1066" w:hanging="357"/>
        <w:contextualSpacing w:val="0"/>
        <w:rPr>
          <w:rFonts w:cstheme="minorHAnsi"/>
        </w:rPr>
      </w:pPr>
      <w:r w:rsidRPr="00373DC2">
        <w:rPr>
          <w:rFonts w:cstheme="minorHAnsi"/>
        </w:rPr>
        <w:t>Systemdienlichkeit für die Energiewende und Sektorkopplung,</w:t>
      </w:r>
    </w:p>
    <w:p w14:paraId="517A07F2" w14:textId="455C3406" w:rsidR="00C9572E" w:rsidRPr="00373DC2" w:rsidRDefault="00C9572E" w:rsidP="002A40C8">
      <w:pPr>
        <w:pStyle w:val="Listenabsatz"/>
        <w:numPr>
          <w:ilvl w:val="0"/>
          <w:numId w:val="14"/>
        </w:numPr>
        <w:spacing w:line="240" w:lineRule="auto"/>
      </w:pPr>
      <w:r w:rsidRPr="00373DC2">
        <w:rPr>
          <w:rFonts w:cstheme="minorHAnsi"/>
        </w:rPr>
        <w:t>Zeitplan der Umsetzung.</w:t>
      </w:r>
    </w:p>
    <w:p w14:paraId="14431DC3" w14:textId="58AFA634" w:rsidR="00C94D0D" w:rsidRPr="00373DC2" w:rsidRDefault="0076170D" w:rsidP="00504AB3">
      <w:pPr>
        <w:spacing w:line="240" w:lineRule="auto"/>
        <w:rPr>
          <w:rFonts w:cstheme="minorHAnsi"/>
          <w:b/>
        </w:rPr>
      </w:pPr>
      <w:r w:rsidRPr="00373DC2">
        <w:rPr>
          <w:rFonts w:cstheme="minorHAnsi"/>
          <w:b/>
        </w:rPr>
        <w:t>5.</w:t>
      </w:r>
      <w:r w:rsidR="00745B78">
        <w:rPr>
          <w:rFonts w:cstheme="minorHAnsi"/>
          <w:b/>
        </w:rPr>
        <w:t>6</w:t>
      </w:r>
      <w:r w:rsidRPr="00373DC2">
        <w:rPr>
          <w:rFonts w:cstheme="minorHAnsi"/>
          <w:b/>
        </w:rPr>
        <w:t>.</w:t>
      </w:r>
      <w:r w:rsidR="003C5ECE" w:rsidRPr="00373DC2">
        <w:rPr>
          <w:rFonts w:cstheme="minorHAnsi"/>
          <w:b/>
        </w:rPr>
        <w:t>5</w:t>
      </w:r>
      <w:r w:rsidRPr="00373DC2">
        <w:rPr>
          <w:rFonts w:cstheme="minorHAnsi"/>
          <w:b/>
        </w:rPr>
        <w:t xml:space="preserve"> </w:t>
      </w:r>
      <w:r w:rsidR="00C94D0D" w:rsidRPr="00373DC2">
        <w:rPr>
          <w:rFonts w:cstheme="minorHAnsi"/>
          <w:b/>
        </w:rPr>
        <w:t xml:space="preserve">Fristen </w:t>
      </w:r>
    </w:p>
    <w:p w14:paraId="0732F37F" w14:textId="50AA5A5B" w:rsidR="0073611E" w:rsidRPr="00373DC2" w:rsidRDefault="00C94D0D" w:rsidP="00504AB3">
      <w:pPr>
        <w:spacing w:line="240" w:lineRule="auto"/>
        <w:rPr>
          <w:rFonts w:cstheme="minorHAnsi"/>
        </w:rPr>
      </w:pPr>
      <w:r w:rsidRPr="00373DC2">
        <w:rPr>
          <w:rFonts w:cstheme="minorHAnsi"/>
        </w:rPr>
        <w:t xml:space="preserve">Förderungen werden </w:t>
      </w:r>
      <w:r w:rsidR="00BA133B" w:rsidRPr="00373DC2">
        <w:rPr>
          <w:rFonts w:cstheme="minorHAnsi"/>
        </w:rPr>
        <w:t>nach</w:t>
      </w:r>
      <w:r w:rsidRPr="00373DC2">
        <w:rPr>
          <w:rFonts w:cstheme="minorHAnsi"/>
        </w:rPr>
        <w:t xml:space="preserve"> Aufruf</w:t>
      </w:r>
      <w:r w:rsidR="00BA133B" w:rsidRPr="00373DC2">
        <w:rPr>
          <w:rFonts w:cstheme="minorHAnsi"/>
        </w:rPr>
        <w:t xml:space="preserve"> durch Bekanntmachung</w:t>
      </w:r>
      <w:r w:rsidR="00B6654A" w:rsidRPr="00373DC2">
        <w:rPr>
          <w:rFonts w:cstheme="minorHAnsi"/>
        </w:rPr>
        <w:t xml:space="preserve"> des BMWK</w:t>
      </w:r>
      <w:r w:rsidRPr="00373DC2">
        <w:rPr>
          <w:rFonts w:cstheme="minorHAnsi"/>
        </w:rPr>
        <w:t xml:space="preserve"> vergeben</w:t>
      </w:r>
      <w:r w:rsidR="00B6654A" w:rsidRPr="00373DC2">
        <w:rPr>
          <w:rFonts w:cstheme="minorHAnsi"/>
        </w:rPr>
        <w:t xml:space="preserve">. Die </w:t>
      </w:r>
      <w:r w:rsidR="00D401A3" w:rsidRPr="00373DC2">
        <w:rPr>
          <w:rFonts w:cstheme="minorHAnsi"/>
        </w:rPr>
        <w:t>Aufrufb</w:t>
      </w:r>
      <w:r w:rsidR="00B6654A" w:rsidRPr="00373DC2">
        <w:rPr>
          <w:rFonts w:cstheme="minorHAnsi"/>
        </w:rPr>
        <w:t xml:space="preserve">ekanntmachung enthält </w:t>
      </w:r>
      <w:r w:rsidR="00D401A3" w:rsidRPr="00373DC2">
        <w:rPr>
          <w:rFonts w:cstheme="minorHAnsi"/>
        </w:rPr>
        <w:t>Einreichungsfristen</w:t>
      </w:r>
      <w:r w:rsidRPr="00373DC2">
        <w:rPr>
          <w:rFonts w:cstheme="minorHAnsi"/>
        </w:rPr>
        <w:t xml:space="preserve">. Förderungen </w:t>
      </w:r>
      <w:r w:rsidR="00BA133B" w:rsidRPr="00373DC2">
        <w:rPr>
          <w:rFonts w:cstheme="minorHAnsi"/>
        </w:rPr>
        <w:t xml:space="preserve">im Teilmodul 2 </w:t>
      </w:r>
      <w:r w:rsidR="007411F5" w:rsidRPr="00373DC2">
        <w:rPr>
          <w:rFonts w:cstheme="minorHAnsi"/>
        </w:rPr>
        <w:t>können nur bis</w:t>
      </w:r>
      <w:r w:rsidRPr="00373DC2">
        <w:rPr>
          <w:rFonts w:cstheme="minorHAnsi"/>
        </w:rPr>
        <w:t xml:space="preserve"> 31.</w:t>
      </w:r>
      <w:r w:rsidR="00BA133B" w:rsidRPr="00373DC2">
        <w:rPr>
          <w:rFonts w:cstheme="minorHAnsi"/>
        </w:rPr>
        <w:t xml:space="preserve"> Dezember </w:t>
      </w:r>
      <w:r w:rsidRPr="00373DC2">
        <w:rPr>
          <w:rFonts w:cstheme="minorHAnsi"/>
        </w:rPr>
        <w:t>2025 bewilligt</w:t>
      </w:r>
      <w:r w:rsidR="007411F5" w:rsidRPr="00373DC2">
        <w:rPr>
          <w:rFonts w:cstheme="minorHAnsi"/>
        </w:rPr>
        <w:t xml:space="preserve"> werden</w:t>
      </w:r>
      <w:r w:rsidRPr="00373DC2">
        <w:rPr>
          <w:rFonts w:cstheme="minorHAnsi"/>
        </w:rPr>
        <w:t xml:space="preserve">. </w:t>
      </w:r>
    </w:p>
    <w:p w14:paraId="325933D8" w14:textId="77777777" w:rsidR="00B03491" w:rsidRPr="00373DC2" w:rsidRDefault="00B03491" w:rsidP="00504AB3">
      <w:pPr>
        <w:spacing w:line="240" w:lineRule="auto"/>
        <w:rPr>
          <w:rFonts w:cstheme="minorHAnsi"/>
          <w:b/>
        </w:rPr>
      </w:pPr>
    </w:p>
    <w:p w14:paraId="308D40AC" w14:textId="65D8CA87" w:rsidR="0011029A" w:rsidRPr="00373DC2" w:rsidRDefault="00C9572E" w:rsidP="00504AB3">
      <w:pPr>
        <w:spacing w:line="240" w:lineRule="auto"/>
        <w:rPr>
          <w:rFonts w:cstheme="minorHAnsi"/>
          <w:b/>
        </w:rPr>
      </w:pPr>
      <w:r w:rsidRPr="00373DC2">
        <w:rPr>
          <w:rFonts w:cstheme="minorHAnsi"/>
          <w:b/>
        </w:rPr>
        <w:lastRenderedPageBreak/>
        <w:t>6</w:t>
      </w:r>
      <w:r w:rsidR="0011029A" w:rsidRPr="00373DC2">
        <w:rPr>
          <w:rFonts w:cstheme="minorHAnsi"/>
          <w:b/>
        </w:rPr>
        <w:t xml:space="preserve"> </w:t>
      </w:r>
      <w:bookmarkStart w:id="31" w:name="_Hlk146034819"/>
      <w:r w:rsidR="0011029A" w:rsidRPr="00373DC2">
        <w:rPr>
          <w:rFonts w:cstheme="minorHAnsi"/>
          <w:b/>
        </w:rPr>
        <w:t>Förderung von CCU/S</w:t>
      </w:r>
      <w:r w:rsidRPr="00373DC2">
        <w:rPr>
          <w:rFonts w:cstheme="minorHAnsi"/>
          <w:b/>
        </w:rPr>
        <w:t xml:space="preserve"> (Modul 2)</w:t>
      </w:r>
      <w:bookmarkEnd w:id="31"/>
    </w:p>
    <w:p w14:paraId="6936E794" w14:textId="49EDB31E" w:rsidR="00C9572E" w:rsidRPr="00373DC2" w:rsidRDefault="00C9572E" w:rsidP="00504AB3">
      <w:pPr>
        <w:spacing w:line="240" w:lineRule="auto"/>
        <w:rPr>
          <w:rFonts w:cstheme="minorHAnsi"/>
          <w:b/>
        </w:rPr>
      </w:pPr>
      <w:r w:rsidRPr="00373DC2">
        <w:rPr>
          <w:rFonts w:cstheme="minorHAnsi"/>
          <w:b/>
        </w:rPr>
        <w:t xml:space="preserve">6.1 </w:t>
      </w:r>
      <w:bookmarkStart w:id="32" w:name="_Hlk146034826"/>
      <w:r w:rsidR="00F240A2" w:rsidRPr="00373DC2">
        <w:rPr>
          <w:rFonts w:cstheme="minorHAnsi"/>
          <w:b/>
        </w:rPr>
        <w:t>Fördergegenstand</w:t>
      </w:r>
      <w:bookmarkEnd w:id="32"/>
    </w:p>
    <w:p w14:paraId="6AFCF079" w14:textId="42998B0E" w:rsidR="006D6111" w:rsidRPr="00373DC2" w:rsidRDefault="00C9572E" w:rsidP="00AA3131">
      <w:pPr>
        <w:pStyle w:val="Listenabsatz"/>
        <w:numPr>
          <w:ilvl w:val="0"/>
          <w:numId w:val="6"/>
        </w:numPr>
        <w:spacing w:line="240" w:lineRule="auto"/>
        <w:ind w:left="714" w:hanging="357"/>
        <w:contextualSpacing w:val="0"/>
        <w:rPr>
          <w:rFonts w:cstheme="minorHAnsi"/>
        </w:rPr>
      </w:pPr>
      <w:r w:rsidRPr="00373DC2">
        <w:rPr>
          <w:rFonts w:cstheme="minorHAnsi"/>
        </w:rPr>
        <w:t xml:space="preserve">Im Modul 2 werden </w:t>
      </w:r>
      <w:r w:rsidR="008C7AC2" w:rsidRPr="00373DC2">
        <w:rPr>
          <w:rFonts w:cstheme="minorHAnsi"/>
        </w:rPr>
        <w:t>V</w:t>
      </w:r>
      <w:r w:rsidRPr="00373DC2">
        <w:rPr>
          <w:rFonts w:cstheme="minorHAnsi"/>
        </w:rPr>
        <w:t xml:space="preserve">orhaben in </w:t>
      </w:r>
      <w:r w:rsidR="00795939" w:rsidRPr="00373DC2">
        <w:rPr>
          <w:rFonts w:cstheme="minorHAnsi"/>
        </w:rPr>
        <w:t>der Industrie und der Abfallwirtschaft</w:t>
      </w:r>
      <w:r w:rsidRPr="00373DC2">
        <w:rPr>
          <w:rFonts w:cstheme="minorHAnsi"/>
        </w:rPr>
        <w:t xml:space="preserve"> in Anlagen zur Anwendung und Umsetzung von CCU und CCS gefördert. </w:t>
      </w:r>
      <w:r w:rsidR="00F240A2" w:rsidRPr="00373DC2">
        <w:rPr>
          <w:rFonts w:cstheme="minorHAnsi"/>
        </w:rPr>
        <w:t xml:space="preserve">Die Förderung besteht aus </w:t>
      </w:r>
    </w:p>
    <w:p w14:paraId="7E1788CB" w14:textId="77777777" w:rsidR="00C9572E" w:rsidRPr="00373DC2" w:rsidRDefault="00F240A2" w:rsidP="00FF125D">
      <w:pPr>
        <w:pStyle w:val="Listenabsatz"/>
        <w:numPr>
          <w:ilvl w:val="0"/>
          <w:numId w:val="29"/>
        </w:numPr>
        <w:spacing w:line="240" w:lineRule="auto"/>
        <w:contextualSpacing w:val="0"/>
        <w:rPr>
          <w:rFonts w:cstheme="minorHAnsi"/>
        </w:rPr>
      </w:pPr>
      <w:r w:rsidRPr="00373DC2">
        <w:rPr>
          <w:rFonts w:cstheme="minorHAnsi"/>
        </w:rPr>
        <w:t xml:space="preserve">Teilmodul 1: Investitionsvorhaben </w:t>
      </w:r>
      <w:bookmarkStart w:id="33" w:name="_Hlk140152204"/>
      <w:r w:rsidR="00492BF0" w:rsidRPr="00373DC2">
        <w:rPr>
          <w:rFonts w:cstheme="minorHAnsi"/>
        </w:rPr>
        <w:t xml:space="preserve">nach den Bedingungen von Art. 36 AGVO </w:t>
      </w:r>
      <w:bookmarkEnd w:id="33"/>
      <w:r w:rsidRPr="00373DC2">
        <w:rPr>
          <w:rFonts w:cstheme="minorHAnsi"/>
        </w:rPr>
        <w:t>und</w:t>
      </w:r>
    </w:p>
    <w:p w14:paraId="6FB0EBFD" w14:textId="58260DC4" w:rsidR="006D6111" w:rsidRPr="00373DC2" w:rsidRDefault="00F240A2" w:rsidP="00FF125D">
      <w:pPr>
        <w:pStyle w:val="Listenabsatz"/>
        <w:numPr>
          <w:ilvl w:val="0"/>
          <w:numId w:val="29"/>
        </w:numPr>
        <w:spacing w:line="240" w:lineRule="auto"/>
        <w:contextualSpacing w:val="0"/>
        <w:rPr>
          <w:rFonts w:cstheme="minorHAnsi"/>
        </w:rPr>
      </w:pPr>
      <w:r w:rsidRPr="00373DC2">
        <w:rPr>
          <w:rFonts w:cstheme="minorHAnsi"/>
        </w:rPr>
        <w:t>Teilmodul 2</w:t>
      </w:r>
      <w:r w:rsidR="00FA0C6E" w:rsidRPr="00373DC2">
        <w:rPr>
          <w:rFonts w:cstheme="minorHAnsi"/>
        </w:rPr>
        <w:t>:</w:t>
      </w:r>
      <w:r w:rsidRPr="00373DC2">
        <w:rPr>
          <w:rFonts w:cstheme="minorHAnsi"/>
        </w:rPr>
        <w:t xml:space="preserve"> </w:t>
      </w:r>
      <w:r w:rsidR="002F1D9C" w:rsidRPr="00373DC2">
        <w:rPr>
          <w:rFonts w:cstheme="minorHAnsi"/>
        </w:rPr>
        <w:t>Innovationsvorhaben (</w:t>
      </w:r>
      <w:r w:rsidR="00FD4245" w:rsidRPr="00373DC2">
        <w:rPr>
          <w:rFonts w:cstheme="minorHAnsi"/>
        </w:rPr>
        <w:t>anwendungsorientierte</w:t>
      </w:r>
      <w:r w:rsidR="00554B9F" w:rsidRPr="00373DC2">
        <w:rPr>
          <w:rFonts w:cstheme="minorHAnsi"/>
        </w:rPr>
        <w:t xml:space="preserve"> </w:t>
      </w:r>
      <w:r w:rsidRPr="00373DC2">
        <w:rPr>
          <w:rFonts w:cstheme="minorHAnsi"/>
        </w:rPr>
        <w:t>Forschungs</w:t>
      </w:r>
      <w:r w:rsidR="00554B9F" w:rsidRPr="00373DC2">
        <w:rPr>
          <w:rFonts w:cstheme="minorHAnsi"/>
        </w:rPr>
        <w:t>- und Entwicklung</w:t>
      </w:r>
      <w:r w:rsidR="002F1D9C" w:rsidRPr="00373DC2">
        <w:rPr>
          <w:rFonts w:cstheme="minorHAnsi"/>
        </w:rPr>
        <w:t>)</w:t>
      </w:r>
      <w:r w:rsidR="00492BF0" w:rsidRPr="00373DC2">
        <w:rPr>
          <w:rFonts w:cstheme="minorHAnsi"/>
        </w:rPr>
        <w:t xml:space="preserve"> nach den Bedingungen von Art. 25 AGVO</w:t>
      </w:r>
      <w:r w:rsidRPr="00373DC2">
        <w:rPr>
          <w:rFonts w:cstheme="minorHAnsi"/>
        </w:rPr>
        <w:t>.</w:t>
      </w:r>
    </w:p>
    <w:p w14:paraId="4BC5ECD2" w14:textId="0871B9C0" w:rsidR="004F15A3" w:rsidRDefault="006D6111" w:rsidP="008D7820">
      <w:pPr>
        <w:pStyle w:val="Listenabsatz"/>
        <w:numPr>
          <w:ilvl w:val="0"/>
          <w:numId w:val="6"/>
        </w:numPr>
        <w:spacing w:line="240" w:lineRule="auto"/>
        <w:ind w:left="709"/>
        <w:contextualSpacing w:val="0"/>
        <w:rPr>
          <w:rFonts w:cstheme="minorHAnsi"/>
        </w:rPr>
      </w:pPr>
      <w:r w:rsidRPr="007F0605">
        <w:rPr>
          <w:rFonts w:cstheme="minorHAnsi"/>
        </w:rPr>
        <w:t xml:space="preserve">Gefördert </w:t>
      </w:r>
      <w:r w:rsidR="00FA0C6E" w:rsidRPr="007F0605">
        <w:rPr>
          <w:rFonts w:cstheme="minorHAnsi"/>
        </w:rPr>
        <w:t>werden</w:t>
      </w:r>
      <w:r w:rsidRPr="007F0605">
        <w:rPr>
          <w:rFonts w:cstheme="minorHAnsi"/>
        </w:rPr>
        <w:t xml:space="preserve"> </w:t>
      </w:r>
      <w:r w:rsidR="00BC7748" w:rsidRPr="007F0605">
        <w:rPr>
          <w:rFonts w:cstheme="minorHAnsi"/>
        </w:rPr>
        <w:t>Anlagen</w:t>
      </w:r>
      <w:r w:rsidR="00E13FB2">
        <w:rPr>
          <w:rFonts w:cstheme="minorHAnsi"/>
        </w:rPr>
        <w:t xml:space="preserve"> in Sektoren</w:t>
      </w:r>
      <w:r w:rsidRPr="007F0605">
        <w:rPr>
          <w:rFonts w:cstheme="minorHAnsi"/>
        </w:rPr>
        <w:t xml:space="preserve">, </w:t>
      </w:r>
      <w:r w:rsidR="00766F23" w:rsidRPr="007F0605">
        <w:rPr>
          <w:rFonts w:cstheme="minorHAnsi"/>
        </w:rPr>
        <w:t>in</w:t>
      </w:r>
      <w:r w:rsidRPr="007F0605">
        <w:rPr>
          <w:rFonts w:cstheme="minorHAnsi"/>
        </w:rPr>
        <w:t xml:space="preserve"> denen </w:t>
      </w:r>
      <w:r w:rsidR="00E13FB2">
        <w:rPr>
          <w:rFonts w:cstheme="minorHAnsi"/>
        </w:rPr>
        <w:t>überwiegen</w:t>
      </w:r>
      <w:r w:rsidR="00DD5BD2">
        <w:rPr>
          <w:rFonts w:cstheme="minorHAnsi"/>
        </w:rPr>
        <w:t>d</w:t>
      </w:r>
      <w:r w:rsidR="001A44E8" w:rsidRPr="007F0605">
        <w:rPr>
          <w:rFonts w:cstheme="minorHAnsi"/>
        </w:rPr>
        <w:t xml:space="preserve"> </w:t>
      </w:r>
      <w:r w:rsidRPr="007F0605">
        <w:rPr>
          <w:rFonts w:cstheme="minorHAnsi"/>
        </w:rPr>
        <w:t xml:space="preserve">schwer </w:t>
      </w:r>
      <w:r w:rsidR="00841A76" w:rsidRPr="007F0605">
        <w:rPr>
          <w:rFonts w:cstheme="minorHAnsi"/>
        </w:rPr>
        <w:t>v</w:t>
      </w:r>
      <w:r w:rsidRPr="007F0605">
        <w:rPr>
          <w:rFonts w:cstheme="minorHAnsi"/>
        </w:rPr>
        <w:t xml:space="preserve">ermeidbare </w:t>
      </w:r>
      <w:r w:rsidR="00766F23" w:rsidRPr="007F0605">
        <w:rPr>
          <w:rFonts w:cstheme="minorHAnsi"/>
        </w:rPr>
        <w:t>CO</w:t>
      </w:r>
      <w:r w:rsidR="00766F23" w:rsidRPr="007F0605">
        <w:rPr>
          <w:rFonts w:cstheme="minorHAnsi"/>
          <w:vertAlign w:val="subscript"/>
        </w:rPr>
        <w:t>2</w:t>
      </w:r>
      <w:r w:rsidR="00766F23" w:rsidRPr="007F0605">
        <w:rPr>
          <w:rFonts w:cstheme="minorHAnsi"/>
        </w:rPr>
        <w:t>-</w:t>
      </w:r>
      <w:r w:rsidR="00851BA9" w:rsidRPr="007F0605">
        <w:rPr>
          <w:rFonts w:cstheme="minorHAnsi"/>
        </w:rPr>
        <w:t xml:space="preserve"> </w:t>
      </w:r>
      <w:proofErr w:type="gramStart"/>
      <w:r w:rsidRPr="007F0605">
        <w:rPr>
          <w:rFonts w:cstheme="minorHAnsi"/>
        </w:rPr>
        <w:t>Emissionen  anfallen</w:t>
      </w:r>
      <w:proofErr w:type="gramEnd"/>
      <w:r w:rsidR="001C33D9" w:rsidRPr="007F0605">
        <w:rPr>
          <w:rFonts w:cstheme="minorHAnsi"/>
        </w:rPr>
        <w:t>.</w:t>
      </w:r>
      <w:r w:rsidR="004F15A3">
        <w:rPr>
          <w:rFonts w:cstheme="minorHAnsi"/>
        </w:rPr>
        <w:t xml:space="preserve"> </w:t>
      </w:r>
    </w:p>
    <w:p w14:paraId="45A2E679" w14:textId="0DEFB173" w:rsidR="004F15A3" w:rsidRPr="004F15A3" w:rsidRDefault="004F15A3" w:rsidP="004F15A3">
      <w:pPr>
        <w:pStyle w:val="Funotentext"/>
        <w:ind w:left="709"/>
        <w:rPr>
          <w:rFonts w:cstheme="minorHAnsi"/>
          <w:sz w:val="22"/>
          <w:szCs w:val="22"/>
        </w:rPr>
      </w:pPr>
      <w:r>
        <w:rPr>
          <w:rFonts w:cstheme="minorHAnsi"/>
          <w:sz w:val="22"/>
          <w:szCs w:val="22"/>
        </w:rPr>
        <w:t xml:space="preserve">Die </w:t>
      </w:r>
      <w:r w:rsidR="00E13FB2">
        <w:rPr>
          <w:rFonts w:cstheme="minorHAnsi"/>
          <w:sz w:val="22"/>
          <w:szCs w:val="22"/>
        </w:rPr>
        <w:t xml:space="preserve">entsprechenden </w:t>
      </w:r>
      <w:r w:rsidRPr="004F15A3">
        <w:rPr>
          <w:rFonts w:cstheme="minorHAnsi"/>
          <w:sz w:val="22"/>
          <w:szCs w:val="22"/>
        </w:rPr>
        <w:t xml:space="preserve">Sektoren werden auf Basis der Carbon Management-Strategie definiert und später per Bekanntmachung </w:t>
      </w:r>
      <w:r>
        <w:rPr>
          <w:rFonts w:cstheme="minorHAnsi"/>
          <w:sz w:val="22"/>
          <w:szCs w:val="22"/>
        </w:rPr>
        <w:t>veröffentlicht</w:t>
      </w:r>
      <w:r w:rsidRPr="004F15A3">
        <w:rPr>
          <w:rFonts w:cstheme="minorHAnsi"/>
          <w:sz w:val="22"/>
          <w:szCs w:val="22"/>
        </w:rPr>
        <w:t>.</w:t>
      </w:r>
    </w:p>
    <w:p w14:paraId="15708108" w14:textId="77777777" w:rsidR="004F15A3" w:rsidRPr="004F15A3" w:rsidRDefault="004F15A3" w:rsidP="004F15A3">
      <w:pPr>
        <w:pStyle w:val="Funotentext"/>
        <w:ind w:left="720"/>
        <w:rPr>
          <w:rFonts w:cstheme="minorHAnsi"/>
          <w:sz w:val="22"/>
          <w:szCs w:val="22"/>
        </w:rPr>
      </w:pPr>
    </w:p>
    <w:p w14:paraId="5F3CB38C" w14:textId="77777777" w:rsidR="00373DC2" w:rsidRPr="000007E0" w:rsidRDefault="00BC7748" w:rsidP="00AA3131">
      <w:pPr>
        <w:pStyle w:val="Textkrper"/>
        <w:numPr>
          <w:ilvl w:val="0"/>
          <w:numId w:val="6"/>
        </w:numPr>
        <w:spacing w:after="160" w:line="240" w:lineRule="auto"/>
        <w:rPr>
          <w:rFonts w:cstheme="minorHAnsi"/>
        </w:rPr>
      </w:pPr>
      <w:r w:rsidRPr="000007E0">
        <w:rPr>
          <w:rFonts w:cstheme="minorHAnsi"/>
        </w:rPr>
        <w:t xml:space="preserve">Anlagen mit </w:t>
      </w:r>
      <w:r w:rsidR="001A44E8" w:rsidRPr="000007E0">
        <w:rPr>
          <w:rFonts w:cstheme="minorHAnsi"/>
        </w:rPr>
        <w:t>CO</w:t>
      </w:r>
      <w:r w:rsidR="001A44E8" w:rsidRPr="000007E0">
        <w:rPr>
          <w:rFonts w:cstheme="minorHAnsi"/>
          <w:vertAlign w:val="subscript"/>
        </w:rPr>
        <w:t>2</w:t>
      </w:r>
      <w:r w:rsidR="001A44E8" w:rsidRPr="000007E0">
        <w:rPr>
          <w:rFonts w:cstheme="minorHAnsi"/>
        </w:rPr>
        <w:t xml:space="preserve">-Emissionen aus der Oxidation von Kohlenstoff aus fossilen Energieträgern </w:t>
      </w:r>
      <w:r w:rsidRPr="000007E0">
        <w:rPr>
          <w:rFonts w:cstheme="minorHAnsi"/>
        </w:rPr>
        <w:t>sind</w:t>
      </w:r>
      <w:r w:rsidR="001A44E8" w:rsidRPr="000007E0">
        <w:rPr>
          <w:rFonts w:cstheme="minorHAnsi"/>
        </w:rPr>
        <w:t xml:space="preserve"> nicht </w:t>
      </w:r>
      <w:r w:rsidRPr="000007E0">
        <w:rPr>
          <w:rFonts w:cstheme="minorHAnsi"/>
        </w:rPr>
        <w:t>förderfähig</w:t>
      </w:r>
      <w:r w:rsidR="001A44E8" w:rsidRPr="000007E0">
        <w:rPr>
          <w:rFonts w:cstheme="minorHAnsi"/>
        </w:rPr>
        <w:t>.</w:t>
      </w:r>
    </w:p>
    <w:p w14:paraId="62FC798F" w14:textId="4FADF27E" w:rsidR="006D6111" w:rsidRPr="00373DC2" w:rsidRDefault="006D6111" w:rsidP="00AA3131">
      <w:pPr>
        <w:pStyle w:val="Textkrper"/>
        <w:numPr>
          <w:ilvl w:val="0"/>
          <w:numId w:val="6"/>
        </w:numPr>
        <w:spacing w:after="160" w:line="240" w:lineRule="auto"/>
        <w:rPr>
          <w:rFonts w:cstheme="minorHAnsi"/>
        </w:rPr>
      </w:pPr>
      <w:r w:rsidRPr="00373DC2">
        <w:rPr>
          <w:rFonts w:cstheme="minorHAnsi"/>
        </w:rPr>
        <w:t>Das BMWK kann durch gesonderte Bekanntmachung den Fördergegenstand verändern.</w:t>
      </w:r>
    </w:p>
    <w:p w14:paraId="3E5148DA" w14:textId="77777777" w:rsidR="003F549F" w:rsidRDefault="003F549F" w:rsidP="00504AB3">
      <w:pPr>
        <w:spacing w:line="240" w:lineRule="auto"/>
        <w:rPr>
          <w:rFonts w:cstheme="minorHAnsi"/>
          <w:b/>
        </w:rPr>
      </w:pPr>
    </w:p>
    <w:p w14:paraId="0D200137" w14:textId="03646A5E" w:rsidR="00B03491" w:rsidRPr="00373DC2" w:rsidRDefault="006D6111" w:rsidP="00504AB3">
      <w:pPr>
        <w:spacing w:line="240" w:lineRule="auto"/>
        <w:rPr>
          <w:rFonts w:cstheme="minorHAnsi"/>
        </w:rPr>
      </w:pPr>
      <w:r w:rsidRPr="00373DC2">
        <w:rPr>
          <w:rFonts w:cstheme="minorHAnsi"/>
          <w:b/>
        </w:rPr>
        <w:t xml:space="preserve">6.2 </w:t>
      </w:r>
      <w:bookmarkStart w:id="34" w:name="_Hlk146034833"/>
      <w:r w:rsidRPr="00373DC2">
        <w:rPr>
          <w:rFonts w:cstheme="minorHAnsi"/>
          <w:b/>
        </w:rPr>
        <w:t>Allgemeine Fördervoraussetzungen</w:t>
      </w:r>
      <w:bookmarkEnd w:id="34"/>
    </w:p>
    <w:p w14:paraId="5E235759" w14:textId="57A3D046" w:rsidR="00C9572E" w:rsidRPr="00373DC2" w:rsidRDefault="00C9572E" w:rsidP="00AA3131">
      <w:pPr>
        <w:pStyle w:val="Listenabsatz"/>
        <w:numPr>
          <w:ilvl w:val="0"/>
          <w:numId w:val="17"/>
        </w:numPr>
        <w:spacing w:line="240" w:lineRule="auto"/>
        <w:ind w:left="714" w:hanging="357"/>
        <w:contextualSpacing w:val="0"/>
        <w:rPr>
          <w:rFonts w:cstheme="minorHAnsi"/>
        </w:rPr>
      </w:pPr>
      <w:r w:rsidRPr="00373DC2">
        <w:rPr>
          <w:rFonts w:cstheme="minorHAnsi"/>
        </w:rPr>
        <w:t xml:space="preserve">Eine Förderung erfolgt nur, wenn </w:t>
      </w:r>
      <w:r w:rsidR="005010E9" w:rsidRPr="00373DC2">
        <w:rPr>
          <w:rFonts w:cstheme="minorHAnsi"/>
        </w:rPr>
        <w:t xml:space="preserve">das Vorhaben </w:t>
      </w:r>
      <w:r w:rsidRPr="00373DC2">
        <w:rPr>
          <w:rFonts w:cstheme="minorHAnsi"/>
        </w:rPr>
        <w:t>im Einklang mit</w:t>
      </w:r>
      <w:r w:rsidRPr="00373DC2" w:rsidDel="00967DCE">
        <w:rPr>
          <w:rFonts w:cstheme="minorHAnsi"/>
        </w:rPr>
        <w:t xml:space="preserve"> </w:t>
      </w:r>
      <w:r w:rsidR="00967DCE" w:rsidRPr="00373DC2">
        <w:rPr>
          <w:rFonts w:cstheme="minorHAnsi"/>
        </w:rPr>
        <w:t xml:space="preserve">mindestens einer Zielsetzung bzw. Handlungsempfehlung </w:t>
      </w:r>
      <w:r w:rsidRPr="00373DC2">
        <w:rPr>
          <w:rFonts w:cstheme="minorHAnsi"/>
        </w:rPr>
        <w:t>der Carbon Management</w:t>
      </w:r>
      <w:r w:rsidR="0030311B" w:rsidRPr="00373DC2">
        <w:rPr>
          <w:rFonts w:cstheme="minorHAnsi"/>
        </w:rPr>
        <w:t>-</w:t>
      </w:r>
      <w:r w:rsidRPr="00373DC2">
        <w:rPr>
          <w:rFonts w:cstheme="minorHAnsi"/>
        </w:rPr>
        <w:t>Strategie der Bundesregierung steht und die rechtlichen Voraussetzungen für die Umsetzung der jeweiligen CCS- bzw. CCU-Prozesskette</w:t>
      </w:r>
      <w:r w:rsidR="00D71B5E" w:rsidRPr="00373DC2">
        <w:rPr>
          <w:rFonts w:cstheme="minorHAnsi"/>
        </w:rPr>
        <w:t xml:space="preserve"> </w:t>
      </w:r>
      <w:r w:rsidRPr="00373DC2">
        <w:rPr>
          <w:rFonts w:cstheme="minorHAnsi"/>
        </w:rPr>
        <w:t xml:space="preserve">vorliegen. </w:t>
      </w:r>
    </w:p>
    <w:p w14:paraId="7A87B41E" w14:textId="3B986B74" w:rsidR="00C40B0E" w:rsidRDefault="00B92635" w:rsidP="00AA3131">
      <w:pPr>
        <w:pStyle w:val="Listenabsatz"/>
        <w:numPr>
          <w:ilvl w:val="0"/>
          <w:numId w:val="17"/>
        </w:numPr>
        <w:spacing w:line="240" w:lineRule="auto"/>
        <w:ind w:left="714" w:hanging="357"/>
        <w:contextualSpacing w:val="0"/>
        <w:rPr>
          <w:rFonts w:cstheme="minorHAnsi"/>
        </w:rPr>
      </w:pPr>
      <w:r w:rsidRPr="00373DC2">
        <w:rPr>
          <w:rFonts w:cstheme="minorHAnsi"/>
        </w:rPr>
        <w:t xml:space="preserve">Im Rahmen von Investitionsvorhaben ist ein Dekarbonisierungsplan aufzustellen und mit dem Antrag auf Förderung einzureichen. </w:t>
      </w:r>
    </w:p>
    <w:p w14:paraId="2F565CC2" w14:textId="6D4267F4" w:rsidR="007661A6" w:rsidRPr="00373DC2" w:rsidRDefault="00874E3A" w:rsidP="00AA3131">
      <w:pPr>
        <w:pStyle w:val="Listenabsatz"/>
        <w:numPr>
          <w:ilvl w:val="0"/>
          <w:numId w:val="17"/>
        </w:numPr>
        <w:spacing w:line="240" w:lineRule="auto"/>
        <w:ind w:left="714" w:hanging="357"/>
        <w:contextualSpacing w:val="0"/>
        <w:rPr>
          <w:rFonts w:cstheme="minorHAnsi"/>
        </w:rPr>
      </w:pPr>
      <w:r w:rsidRPr="00874E3A">
        <w:rPr>
          <w:rFonts w:cstheme="minorHAnsi"/>
        </w:rPr>
        <w:t>Für ggf. eingesetzte Biomasse gelten die Anforderungen aus 5.2 (</w:t>
      </w:r>
      <w:r w:rsidR="008771E8">
        <w:rPr>
          <w:rFonts w:cstheme="minorHAnsi"/>
        </w:rPr>
        <w:t>5</w:t>
      </w:r>
      <w:r w:rsidRPr="00874E3A">
        <w:rPr>
          <w:rFonts w:cstheme="minorHAnsi"/>
        </w:rPr>
        <w:t>) analog.</w:t>
      </w:r>
    </w:p>
    <w:p w14:paraId="7D891D63" w14:textId="43C31F17" w:rsidR="007D6631" w:rsidRPr="00373DC2" w:rsidRDefault="00C9572E" w:rsidP="00AA3131">
      <w:pPr>
        <w:pStyle w:val="Listenabsatz"/>
        <w:numPr>
          <w:ilvl w:val="0"/>
          <w:numId w:val="17"/>
        </w:numPr>
        <w:spacing w:line="240" w:lineRule="auto"/>
        <w:ind w:left="714" w:hanging="357"/>
        <w:contextualSpacing w:val="0"/>
        <w:rPr>
          <w:rFonts w:cstheme="minorHAnsi"/>
        </w:rPr>
      </w:pPr>
      <w:r w:rsidRPr="00373DC2">
        <w:rPr>
          <w:rFonts w:cstheme="minorHAnsi"/>
        </w:rPr>
        <w:t xml:space="preserve">Ein förderfähiges </w:t>
      </w:r>
      <w:r w:rsidR="00553BC0" w:rsidRPr="00373DC2">
        <w:rPr>
          <w:rFonts w:cstheme="minorHAnsi"/>
        </w:rPr>
        <w:t>Investitionsv</w:t>
      </w:r>
      <w:r w:rsidRPr="00373DC2">
        <w:rPr>
          <w:rFonts w:cstheme="minorHAnsi"/>
        </w:rPr>
        <w:t>orhaben muss die gesamte Prozesskette von der Abscheidung bis zur Nutzung oder Speicherung abbilden, auch wenn nur für einzelne Bestandteile der Prozesskette eine Förderung beantragt wird. Die Speicherung muss in einer gemäß der Richtlinie 2009/31/EG zugelassenen Speicherstätte erfolgen. Für die Erfüllung der Nachweispflicht hinsichtlich der dauerhaften Speicherung/Bindung des CO</w:t>
      </w:r>
      <w:r w:rsidRPr="00373DC2">
        <w:rPr>
          <w:rFonts w:cstheme="minorHAnsi"/>
          <w:vertAlign w:val="subscript"/>
        </w:rPr>
        <w:t>2</w:t>
      </w:r>
      <w:r w:rsidRPr="00373DC2">
        <w:rPr>
          <w:rFonts w:cstheme="minorHAnsi"/>
        </w:rPr>
        <w:t xml:space="preserve"> gelten die Vorgaben gemäß Durchführungsverordnung (EU) 2018/2066 der </w:t>
      </w:r>
      <w:r w:rsidR="0034465B" w:rsidRPr="00373DC2">
        <w:rPr>
          <w:rFonts w:cstheme="minorHAnsi"/>
          <w:color w:val="000000" w:themeColor="text1"/>
        </w:rPr>
        <w:t>Europäischen Kommission</w:t>
      </w:r>
      <w:r w:rsidRPr="00373DC2">
        <w:rPr>
          <w:rFonts w:cstheme="minorHAnsi"/>
        </w:rPr>
        <w:t xml:space="preserve"> oder entsprechende EU-Vorgaben. </w:t>
      </w:r>
    </w:p>
    <w:p w14:paraId="0CA0115C" w14:textId="14C307E3" w:rsidR="004B0C33" w:rsidRDefault="00C9572E" w:rsidP="009115CD">
      <w:pPr>
        <w:pStyle w:val="Listenabsatz"/>
        <w:numPr>
          <w:ilvl w:val="0"/>
          <w:numId w:val="17"/>
        </w:numPr>
        <w:spacing w:line="240" w:lineRule="auto"/>
        <w:contextualSpacing w:val="0"/>
        <w:rPr>
          <w:rFonts w:cstheme="minorHAnsi"/>
        </w:rPr>
      </w:pPr>
      <w:r w:rsidRPr="00373DC2">
        <w:rPr>
          <w:rFonts w:cstheme="minorHAnsi"/>
        </w:rPr>
        <w:t>Auch Infrastrukturinvestitionen des Zuwendungsempfängers, die in Deutschland benötigt werden, um das CO</w:t>
      </w:r>
      <w:r w:rsidRPr="00373DC2">
        <w:rPr>
          <w:rFonts w:cstheme="minorHAnsi"/>
          <w:vertAlign w:val="subscript"/>
        </w:rPr>
        <w:t>2</w:t>
      </w:r>
      <w:r w:rsidRPr="00373DC2">
        <w:rPr>
          <w:rFonts w:cstheme="minorHAnsi"/>
        </w:rPr>
        <w:t xml:space="preserve"> von dem Ort, an dem es abgeschieden wird, an den Ort der Nutzung als Rohstoff</w:t>
      </w:r>
      <w:r w:rsidR="00DD43C3" w:rsidRPr="00373DC2">
        <w:rPr>
          <w:rFonts w:cstheme="minorHAnsi"/>
        </w:rPr>
        <w:t>, zu Zwischenspeicherung</w:t>
      </w:r>
      <w:r w:rsidRPr="00373DC2">
        <w:rPr>
          <w:rFonts w:cstheme="minorHAnsi"/>
        </w:rPr>
        <w:t xml:space="preserve"> </w:t>
      </w:r>
      <w:r w:rsidR="00DD43C3" w:rsidRPr="00373DC2">
        <w:rPr>
          <w:rFonts w:cstheme="minorHAnsi"/>
        </w:rPr>
        <w:t>und Weitertransport</w:t>
      </w:r>
      <w:r w:rsidRPr="00373DC2">
        <w:rPr>
          <w:rFonts w:cstheme="minorHAnsi"/>
        </w:rPr>
        <w:t xml:space="preserve"> oder </w:t>
      </w:r>
      <w:r w:rsidR="00DD43C3" w:rsidRPr="00373DC2">
        <w:rPr>
          <w:rFonts w:cstheme="minorHAnsi"/>
        </w:rPr>
        <w:t xml:space="preserve">gleich </w:t>
      </w:r>
      <w:r w:rsidRPr="00373DC2">
        <w:rPr>
          <w:rFonts w:cstheme="minorHAnsi"/>
        </w:rPr>
        <w:t xml:space="preserve">zur </w:t>
      </w:r>
      <w:r w:rsidR="00DD43C3" w:rsidRPr="00373DC2">
        <w:rPr>
          <w:rFonts w:cstheme="minorHAnsi"/>
        </w:rPr>
        <w:t>Ends</w:t>
      </w:r>
      <w:r w:rsidRPr="00373DC2">
        <w:rPr>
          <w:rFonts w:cstheme="minorHAnsi"/>
        </w:rPr>
        <w:t>peicherung zu transportieren, werden mitgefördert</w:t>
      </w:r>
      <w:r w:rsidR="00F60BB8" w:rsidRPr="00373DC2">
        <w:rPr>
          <w:rFonts w:cstheme="minorHAnsi"/>
        </w:rPr>
        <w:t>,</w:t>
      </w:r>
      <w:r w:rsidRPr="00373DC2">
        <w:rPr>
          <w:rFonts w:cstheme="minorHAnsi"/>
        </w:rPr>
        <w:t xml:space="preserve"> </w:t>
      </w:r>
      <w:r w:rsidR="00F60BB8" w:rsidRPr="00373DC2">
        <w:rPr>
          <w:rFonts w:cstheme="minorHAnsi"/>
        </w:rPr>
        <w:t xml:space="preserve">wenn sie für eine kleine Gruppe vorab festgelegter Nutzer errichtet werden und auf deren Bedarf zugeschnitten sind </w:t>
      </w:r>
      <w:r w:rsidRPr="00373DC2">
        <w:rPr>
          <w:rFonts w:cstheme="minorHAnsi"/>
        </w:rPr>
        <w:t>(gewidmete Infrastruktur). Andere Infrastrukturmaßnahmen sind jedoch nicht förderfähig.</w:t>
      </w:r>
    </w:p>
    <w:p w14:paraId="191242DE" w14:textId="77777777" w:rsidR="009115CD" w:rsidRPr="009115CD" w:rsidRDefault="009115CD" w:rsidP="009115CD">
      <w:pPr>
        <w:pStyle w:val="Listenabsatz"/>
        <w:spacing w:line="240" w:lineRule="auto"/>
        <w:contextualSpacing w:val="0"/>
        <w:rPr>
          <w:rFonts w:cstheme="minorHAnsi"/>
        </w:rPr>
      </w:pPr>
    </w:p>
    <w:p w14:paraId="660B402E" w14:textId="022D2804" w:rsidR="00F240A2" w:rsidRPr="00373DC2" w:rsidRDefault="00F240A2" w:rsidP="00AA3131">
      <w:pPr>
        <w:pStyle w:val="Listenabsatz"/>
        <w:numPr>
          <w:ilvl w:val="1"/>
          <w:numId w:val="13"/>
        </w:numPr>
        <w:spacing w:line="240" w:lineRule="auto"/>
        <w:rPr>
          <w:rFonts w:cstheme="minorHAnsi"/>
          <w:b/>
        </w:rPr>
      </w:pPr>
      <w:bookmarkStart w:id="35" w:name="_Hlk146034839"/>
      <w:r w:rsidRPr="00373DC2">
        <w:rPr>
          <w:rFonts w:cstheme="minorHAnsi"/>
          <w:b/>
          <w:bCs/>
        </w:rPr>
        <w:t>Besondere Förder</w:t>
      </w:r>
      <w:r w:rsidR="00FA0C6E" w:rsidRPr="00373DC2">
        <w:rPr>
          <w:rFonts w:cstheme="minorHAnsi"/>
          <w:b/>
          <w:bCs/>
        </w:rPr>
        <w:t>voraussetzung</w:t>
      </w:r>
      <w:r w:rsidR="007D2364" w:rsidRPr="00373DC2">
        <w:rPr>
          <w:rFonts w:cstheme="minorHAnsi"/>
          <w:b/>
          <w:bCs/>
        </w:rPr>
        <w:t>en</w:t>
      </w:r>
    </w:p>
    <w:bookmarkEnd w:id="35"/>
    <w:p w14:paraId="54CD2341" w14:textId="4E903B86" w:rsidR="00F240A2" w:rsidRPr="00373DC2" w:rsidRDefault="00F240A2" w:rsidP="00504AB3">
      <w:pPr>
        <w:spacing w:line="240" w:lineRule="auto"/>
        <w:rPr>
          <w:rFonts w:cstheme="minorHAnsi"/>
          <w:b/>
        </w:rPr>
      </w:pPr>
      <w:r w:rsidRPr="00373DC2">
        <w:rPr>
          <w:rFonts w:cstheme="minorHAnsi"/>
          <w:b/>
        </w:rPr>
        <w:t>6.</w:t>
      </w:r>
      <w:r w:rsidR="00BF5824" w:rsidRPr="00373DC2">
        <w:rPr>
          <w:rFonts w:cstheme="minorHAnsi"/>
          <w:b/>
        </w:rPr>
        <w:t>3</w:t>
      </w:r>
      <w:r w:rsidRPr="00373DC2">
        <w:rPr>
          <w:rFonts w:cstheme="minorHAnsi"/>
          <w:b/>
        </w:rPr>
        <w:t>.1 Teilmodul 1 „Investitionsvorhaben“</w:t>
      </w:r>
    </w:p>
    <w:p w14:paraId="61E6BD2A" w14:textId="2E68728D" w:rsidR="007D2364" w:rsidRPr="00373DC2" w:rsidRDefault="00B92635" w:rsidP="000F3E69">
      <w:pPr>
        <w:pStyle w:val="Listenabsatz"/>
        <w:numPr>
          <w:ilvl w:val="0"/>
          <w:numId w:val="24"/>
        </w:numPr>
        <w:spacing w:line="240" w:lineRule="auto"/>
        <w:ind w:left="714" w:hanging="357"/>
        <w:contextualSpacing w:val="0"/>
        <w:rPr>
          <w:rFonts w:cstheme="minorHAnsi"/>
        </w:rPr>
      </w:pPr>
      <w:r w:rsidRPr="00373DC2">
        <w:rPr>
          <w:rFonts w:cstheme="minorHAnsi"/>
        </w:rPr>
        <w:t>Förderfähig sind die Investitionsmehrkosten</w:t>
      </w:r>
      <w:r w:rsidR="000F3E69">
        <w:rPr>
          <w:rFonts w:cstheme="minorHAnsi"/>
        </w:rPr>
        <w:t xml:space="preserve"> </w:t>
      </w:r>
      <w:r w:rsidR="000F3E69" w:rsidRPr="000F3E69">
        <w:rPr>
          <w:rFonts w:cstheme="minorHAnsi"/>
        </w:rPr>
        <w:t>nach Ziffer 6.5.1</w:t>
      </w:r>
      <w:r w:rsidR="00DA0379">
        <w:rPr>
          <w:rFonts w:cstheme="minorHAnsi"/>
        </w:rPr>
        <w:t>.</w:t>
      </w:r>
      <w:bookmarkStart w:id="36" w:name="_Hlk139532238"/>
      <w:r w:rsidR="00E327A3" w:rsidRPr="00373DC2">
        <w:rPr>
          <w:rFonts w:cstheme="minorHAnsi"/>
        </w:rPr>
        <w:t xml:space="preserve"> </w:t>
      </w:r>
      <w:bookmarkStart w:id="37" w:name="_Hlk69933047"/>
    </w:p>
    <w:p w14:paraId="18FCC2C8" w14:textId="146881A2" w:rsidR="00F240A2" w:rsidRPr="000007E0" w:rsidRDefault="00F240A2" w:rsidP="00DE4A10">
      <w:pPr>
        <w:pStyle w:val="Listenabsatz"/>
        <w:spacing w:line="240" w:lineRule="auto"/>
        <w:ind w:left="714"/>
        <w:contextualSpacing w:val="0"/>
        <w:rPr>
          <w:rFonts w:cstheme="minorHAnsi"/>
        </w:rPr>
      </w:pPr>
    </w:p>
    <w:p w14:paraId="3E51E577" w14:textId="0848BE8D" w:rsidR="00B03491" w:rsidRPr="00373DC2" w:rsidRDefault="00B03491" w:rsidP="00DE4A10">
      <w:pPr>
        <w:pStyle w:val="Listenabsatz"/>
        <w:spacing w:line="240" w:lineRule="auto"/>
        <w:ind w:left="714"/>
        <w:contextualSpacing w:val="0"/>
        <w:rPr>
          <w:rFonts w:cstheme="minorHAnsi"/>
        </w:rPr>
      </w:pPr>
    </w:p>
    <w:p w14:paraId="4AC8A3E8" w14:textId="068493A4" w:rsidR="00F240A2" w:rsidRPr="00373DC2" w:rsidRDefault="00F240A2" w:rsidP="00FF125D">
      <w:pPr>
        <w:pStyle w:val="Listenabsatz"/>
        <w:numPr>
          <w:ilvl w:val="0"/>
          <w:numId w:val="24"/>
        </w:numPr>
        <w:spacing w:line="240" w:lineRule="auto"/>
        <w:ind w:left="709" w:hanging="425"/>
        <w:contextualSpacing w:val="0"/>
        <w:rPr>
          <w:rFonts w:cstheme="minorHAnsi"/>
        </w:rPr>
      </w:pPr>
      <w:bookmarkStart w:id="38" w:name="_Hlk69933139"/>
      <w:bookmarkEnd w:id="36"/>
      <w:bookmarkEnd w:id="37"/>
      <w:r w:rsidRPr="00373DC2">
        <w:rPr>
          <w:rFonts w:cstheme="minorHAnsi"/>
        </w:rPr>
        <w:t xml:space="preserve">Zusätzlich zu den Investitionskosten können </w:t>
      </w:r>
      <w:r w:rsidR="00A12D05">
        <w:rPr>
          <w:rFonts w:cstheme="minorHAnsi"/>
        </w:rPr>
        <w:t xml:space="preserve">bis höchstens 2030 </w:t>
      </w:r>
      <w:r w:rsidRPr="00373DC2">
        <w:rPr>
          <w:rFonts w:cstheme="minorHAnsi"/>
        </w:rPr>
        <w:t xml:space="preserve">auch Betriebskosten für die im Vorhaben realisierten Anlagen gefördert werden. Bemessungsgrundlage sind hier die zusätzlichen Produktionskosten (z.B. Wartungskosten), die sich aus der zusätzlichen Investition für den Umweltschutz ergeben, abzüglich der Betriebseinnahmen, worunter sowohl Kosteneinsparungen (z.B. Emissionshandel) als auch zusätzliche Nebenprodukte zu verstehen sind, die sich direkt aus dem Mehraufwand für den Umweltschutz ergeben. </w:t>
      </w:r>
    </w:p>
    <w:p w14:paraId="659DA127" w14:textId="3995B140" w:rsidR="00F240A2" w:rsidRPr="00373DC2" w:rsidRDefault="00F240A2" w:rsidP="00FF125D">
      <w:pPr>
        <w:pStyle w:val="Listenabsatz"/>
        <w:numPr>
          <w:ilvl w:val="0"/>
          <w:numId w:val="24"/>
        </w:numPr>
        <w:spacing w:before="240" w:after="0" w:line="240" w:lineRule="auto"/>
        <w:ind w:left="709" w:hanging="425"/>
        <w:contextualSpacing w:val="0"/>
        <w:rPr>
          <w:rFonts w:cstheme="minorHAnsi"/>
        </w:rPr>
      </w:pPr>
      <w:r w:rsidRPr="00373DC2">
        <w:rPr>
          <w:rFonts w:cstheme="minorHAnsi"/>
        </w:rPr>
        <w:t xml:space="preserve">Eine Förderung von Projekten zur Produktion von Wasserstoff in Verbindung mit CCS (sog. </w:t>
      </w:r>
      <w:r w:rsidR="00EA6B86" w:rsidRPr="00373DC2">
        <w:rPr>
          <w:rFonts w:cstheme="minorHAnsi"/>
        </w:rPr>
        <w:t>b</w:t>
      </w:r>
      <w:r w:rsidRPr="00373DC2">
        <w:rPr>
          <w:rFonts w:cstheme="minorHAnsi"/>
        </w:rPr>
        <w:t xml:space="preserve">lauer Wasserstoff) ist im Rahmen der vorliegenden Förderrichtlinie ausgeschlossen. </w:t>
      </w:r>
      <w:bookmarkEnd w:id="38"/>
    </w:p>
    <w:p w14:paraId="7BE8EBE7" w14:textId="47F76CD0" w:rsidR="00492BF0" w:rsidRPr="00373DC2" w:rsidRDefault="00A12D05" w:rsidP="00FF125D">
      <w:pPr>
        <w:pStyle w:val="Listenabsatz"/>
        <w:numPr>
          <w:ilvl w:val="0"/>
          <w:numId w:val="24"/>
        </w:numPr>
        <w:spacing w:before="240" w:after="0" w:line="240" w:lineRule="auto"/>
        <w:ind w:left="709" w:hanging="425"/>
        <w:contextualSpacing w:val="0"/>
        <w:rPr>
          <w:rFonts w:cstheme="minorHAnsi"/>
        </w:rPr>
      </w:pPr>
      <w:r>
        <w:rPr>
          <w:rFonts w:cstheme="minorHAnsi"/>
        </w:rPr>
        <w:t xml:space="preserve">Ergibt sich durch spätere Mehreinnahmen bei </w:t>
      </w:r>
      <w:r w:rsidR="007F0DDE">
        <w:rPr>
          <w:rFonts w:cstheme="minorHAnsi"/>
        </w:rPr>
        <w:t xml:space="preserve">einer </w:t>
      </w:r>
      <w:r>
        <w:rPr>
          <w:rFonts w:cstheme="minorHAnsi"/>
        </w:rPr>
        <w:t>Betriebskostenförderung eine Änderung der Sachlage, können Überförderungen zurückgefordert werden (</w:t>
      </w:r>
      <w:proofErr w:type="spellStart"/>
      <w:r>
        <w:rPr>
          <w:rFonts w:cstheme="minorHAnsi"/>
        </w:rPr>
        <w:t>Clawback</w:t>
      </w:r>
      <w:proofErr w:type="spellEnd"/>
      <w:r>
        <w:rPr>
          <w:rFonts w:cstheme="minorHAnsi"/>
        </w:rPr>
        <w:t xml:space="preserve">). </w:t>
      </w:r>
      <w:r w:rsidR="00492BF0" w:rsidRPr="00373DC2">
        <w:rPr>
          <w:rFonts w:cstheme="minorHAnsi"/>
        </w:rPr>
        <w:t xml:space="preserve">Im Übrigen gelten die Bedingungen von Artikel 36 AGVO. </w:t>
      </w:r>
    </w:p>
    <w:p w14:paraId="12D40B17" w14:textId="7C74A381" w:rsidR="000007E0" w:rsidRPr="009115CD" w:rsidRDefault="00C72650" w:rsidP="009115CD">
      <w:pPr>
        <w:pStyle w:val="Listenabsatz"/>
        <w:numPr>
          <w:ilvl w:val="0"/>
          <w:numId w:val="24"/>
        </w:numPr>
        <w:spacing w:before="240" w:line="240" w:lineRule="auto"/>
        <w:ind w:left="709" w:hanging="425"/>
        <w:contextualSpacing w:val="0"/>
        <w:rPr>
          <w:rFonts w:cstheme="minorHAnsi"/>
        </w:rPr>
      </w:pPr>
      <w:bookmarkStart w:id="39" w:name="_Hlk140152299"/>
      <w:bookmarkStart w:id="40" w:name="_Hlk69933353"/>
      <w:r w:rsidRPr="009115CD">
        <w:rPr>
          <w:rFonts w:cstheme="minorHAnsi"/>
        </w:rPr>
        <w:t xml:space="preserve">Ab 15 Mio. </w:t>
      </w:r>
      <w:r w:rsidR="00D656A0" w:rsidRPr="009115CD">
        <w:rPr>
          <w:rFonts w:cstheme="minorHAnsi"/>
        </w:rPr>
        <w:t>Euro</w:t>
      </w:r>
      <w:r w:rsidRPr="009115CD">
        <w:rPr>
          <w:rFonts w:cstheme="minorHAnsi"/>
        </w:rPr>
        <w:t xml:space="preserve"> Fördervolumen erfolgt die Förderung auf Basis einer Kofinanzierung durch die Bundesländer. Das Bundesland, in dem die Investition stattfindet, muss vor Antragseinreichung schriftlich bestätigen, dass es mindestens 30 </w:t>
      </w:r>
      <w:r w:rsidR="003F549F" w:rsidRPr="009115CD">
        <w:rPr>
          <w:rFonts w:cstheme="minorHAnsi"/>
        </w:rPr>
        <w:t>Prozent</w:t>
      </w:r>
      <w:r w:rsidRPr="009115CD">
        <w:rPr>
          <w:rFonts w:cstheme="minorHAnsi"/>
        </w:rPr>
        <w:t xml:space="preserve"> der beantragten Förderung finanziert. Der Bund trägt maximal 70 </w:t>
      </w:r>
      <w:r w:rsidR="003F549F" w:rsidRPr="009115CD">
        <w:rPr>
          <w:rFonts w:cstheme="minorHAnsi"/>
        </w:rPr>
        <w:t>Prozent</w:t>
      </w:r>
      <w:r w:rsidRPr="009115CD">
        <w:rPr>
          <w:rFonts w:cstheme="minorHAnsi"/>
        </w:rPr>
        <w:t xml:space="preserve"> der beantragten Förderung und nur unter der Bedingung, dass die dreißigprozentige Landeskofinanzierung erfolgt.</w:t>
      </w:r>
      <w:r w:rsidR="009115CD" w:rsidRPr="009115CD">
        <w:rPr>
          <w:rFonts w:cstheme="minorHAnsi"/>
        </w:rPr>
        <w:t xml:space="preserve"> </w:t>
      </w:r>
    </w:p>
    <w:bookmarkEnd w:id="39"/>
    <w:p w14:paraId="6201713F" w14:textId="2ACB0553" w:rsidR="00F240A2" w:rsidRPr="00373DC2" w:rsidRDefault="00F240A2" w:rsidP="00504AB3">
      <w:pPr>
        <w:spacing w:line="240" w:lineRule="auto"/>
        <w:rPr>
          <w:rFonts w:cstheme="minorHAnsi"/>
          <w:b/>
        </w:rPr>
      </w:pPr>
      <w:r w:rsidRPr="00373DC2">
        <w:rPr>
          <w:rFonts w:cstheme="minorHAnsi"/>
          <w:b/>
        </w:rPr>
        <w:t>6.</w:t>
      </w:r>
      <w:r w:rsidR="00BF5824" w:rsidRPr="00373DC2">
        <w:rPr>
          <w:rFonts w:cstheme="minorHAnsi"/>
          <w:b/>
        </w:rPr>
        <w:t>3</w:t>
      </w:r>
      <w:r w:rsidRPr="00373DC2">
        <w:rPr>
          <w:rFonts w:cstheme="minorHAnsi"/>
          <w:b/>
        </w:rPr>
        <w:t>.2 Teilmodul 2 Innovationsvorhaben</w:t>
      </w:r>
      <w:r w:rsidR="002F1D9C" w:rsidRPr="00373DC2">
        <w:rPr>
          <w:rFonts w:cstheme="minorHAnsi"/>
          <w:b/>
        </w:rPr>
        <w:t xml:space="preserve"> (</w:t>
      </w:r>
      <w:r w:rsidR="00583B0A" w:rsidRPr="00373DC2">
        <w:rPr>
          <w:rFonts w:cstheme="minorHAnsi"/>
          <w:b/>
        </w:rPr>
        <w:t>anwendungsorientierte</w:t>
      </w:r>
      <w:r w:rsidR="002F1D9C" w:rsidRPr="00373DC2">
        <w:rPr>
          <w:rFonts w:cstheme="minorHAnsi"/>
          <w:b/>
        </w:rPr>
        <w:t xml:space="preserve"> Forschung- und Entwicklung)</w:t>
      </w:r>
    </w:p>
    <w:p w14:paraId="6C6271F3" w14:textId="4E748623" w:rsidR="00F240A2" w:rsidRPr="00373DC2" w:rsidRDefault="004E4811" w:rsidP="00373DC2">
      <w:pPr>
        <w:spacing w:line="240" w:lineRule="auto"/>
        <w:ind w:left="709" w:hanging="425"/>
        <w:rPr>
          <w:rFonts w:eastAsia="Calibri" w:cstheme="minorHAnsi"/>
        </w:rPr>
      </w:pPr>
      <w:bookmarkStart w:id="41" w:name="_Hlk139532637"/>
      <w:r w:rsidRPr="00373DC2">
        <w:rPr>
          <w:rFonts w:eastAsia="Calibri" w:cstheme="minorHAnsi"/>
        </w:rPr>
        <w:t xml:space="preserve">(1)  </w:t>
      </w:r>
      <w:r w:rsidR="00C544EF" w:rsidRPr="00373DC2">
        <w:rPr>
          <w:rFonts w:eastAsia="Calibri" w:cstheme="minorHAnsi"/>
        </w:rPr>
        <w:t xml:space="preserve"> </w:t>
      </w:r>
      <w:r w:rsidR="00F240A2" w:rsidRPr="00373DC2">
        <w:rPr>
          <w:rFonts w:eastAsia="Calibri" w:cstheme="minorHAnsi"/>
        </w:rPr>
        <w:t xml:space="preserve">Es werden </w:t>
      </w:r>
      <w:r w:rsidR="00F240A2" w:rsidRPr="00373DC2">
        <w:rPr>
          <w:rFonts w:cstheme="minorHAnsi"/>
        </w:rPr>
        <w:t>Innovationsvorhaben</w:t>
      </w:r>
      <w:r w:rsidR="00F240A2" w:rsidRPr="00373DC2">
        <w:rPr>
          <w:rFonts w:eastAsia="Times New Roman" w:cstheme="minorHAnsi"/>
          <w:lang w:eastAsia="de-DE"/>
        </w:rPr>
        <w:t xml:space="preserve"> </w:t>
      </w:r>
      <w:r w:rsidR="002F1D9C" w:rsidRPr="00373DC2">
        <w:rPr>
          <w:rFonts w:eastAsia="Times New Roman" w:cstheme="minorHAnsi"/>
          <w:lang w:eastAsia="de-DE"/>
        </w:rPr>
        <w:t>(</w:t>
      </w:r>
      <w:r w:rsidR="00806CAE" w:rsidRPr="00373DC2">
        <w:rPr>
          <w:rFonts w:eastAsia="Times New Roman" w:cstheme="minorHAnsi"/>
          <w:lang w:eastAsia="de-DE"/>
        </w:rPr>
        <w:t>anwendungsorientierte</w:t>
      </w:r>
      <w:r w:rsidR="002F1D9C" w:rsidRPr="00373DC2">
        <w:rPr>
          <w:rFonts w:eastAsia="Times New Roman" w:cstheme="minorHAnsi"/>
          <w:lang w:eastAsia="de-DE"/>
        </w:rPr>
        <w:t xml:space="preserve"> </w:t>
      </w:r>
      <w:r w:rsidR="002F1D9C" w:rsidRPr="00373DC2">
        <w:rPr>
          <w:rFonts w:cstheme="minorHAnsi"/>
        </w:rPr>
        <w:t>Forschung</w:t>
      </w:r>
      <w:r w:rsidR="001D579D" w:rsidRPr="00373DC2">
        <w:rPr>
          <w:rFonts w:cstheme="minorHAnsi"/>
        </w:rPr>
        <w:t xml:space="preserve">- und </w:t>
      </w:r>
      <w:r w:rsidR="002F1D9C" w:rsidRPr="00373DC2">
        <w:rPr>
          <w:rFonts w:cstheme="minorHAnsi"/>
        </w:rPr>
        <w:t xml:space="preserve">Entwicklung) </w:t>
      </w:r>
      <w:r w:rsidR="006F7C9A" w:rsidRPr="00373DC2">
        <w:rPr>
          <w:rFonts w:eastAsia="Calibri" w:cstheme="minorHAnsi"/>
        </w:rPr>
        <w:t xml:space="preserve">in der </w:t>
      </w:r>
      <w:r w:rsidR="00806CAE" w:rsidRPr="00373DC2">
        <w:rPr>
          <w:rFonts w:eastAsia="Calibri" w:cstheme="minorHAnsi"/>
        </w:rPr>
        <w:t xml:space="preserve">  </w:t>
      </w:r>
      <w:r w:rsidR="006F7C9A" w:rsidRPr="00373DC2">
        <w:rPr>
          <w:rFonts w:eastAsia="Calibri" w:cstheme="minorHAnsi"/>
        </w:rPr>
        <w:t>Industrie und der Abfallwirtschaft</w:t>
      </w:r>
      <w:r w:rsidR="00F240A2" w:rsidRPr="00373DC2">
        <w:rPr>
          <w:rFonts w:eastAsia="Calibri" w:cstheme="minorHAnsi"/>
        </w:rPr>
        <w:t xml:space="preserve"> gefördert, die zur </w:t>
      </w:r>
      <w:r w:rsidR="002F1D9C" w:rsidRPr="00373DC2">
        <w:rPr>
          <w:rFonts w:eastAsia="Calibri" w:cstheme="minorHAnsi"/>
        </w:rPr>
        <w:t xml:space="preserve">technischen </w:t>
      </w:r>
      <w:r w:rsidR="00E82C7D" w:rsidRPr="00373DC2">
        <w:rPr>
          <w:rFonts w:eastAsia="Calibri" w:cstheme="minorHAnsi"/>
        </w:rPr>
        <w:t>(</w:t>
      </w:r>
      <w:r w:rsidR="00F240A2" w:rsidRPr="00373DC2">
        <w:rPr>
          <w:rFonts w:eastAsia="Calibri" w:cstheme="minorHAnsi"/>
        </w:rPr>
        <w:t>Weiter</w:t>
      </w:r>
      <w:r w:rsidR="00E82C7D" w:rsidRPr="00373DC2">
        <w:rPr>
          <w:rFonts w:eastAsia="Calibri" w:cstheme="minorHAnsi"/>
        </w:rPr>
        <w:t>-)E</w:t>
      </w:r>
      <w:r w:rsidR="00F240A2" w:rsidRPr="00373DC2">
        <w:rPr>
          <w:rFonts w:eastAsia="Calibri" w:cstheme="minorHAnsi"/>
        </w:rPr>
        <w:t>ntwicklung von</w:t>
      </w:r>
      <w:r w:rsidR="00F240A2" w:rsidRPr="00373DC2" w:rsidDel="001D579D">
        <w:rPr>
          <w:rFonts w:eastAsia="Calibri" w:cstheme="minorHAnsi"/>
        </w:rPr>
        <w:t xml:space="preserve"> </w:t>
      </w:r>
      <w:r w:rsidR="00F240A2" w:rsidRPr="00373DC2">
        <w:rPr>
          <w:rFonts w:eastAsia="Calibri" w:cstheme="minorHAnsi"/>
        </w:rPr>
        <w:t>CCU/CCS-Prozessketten und eine</w:t>
      </w:r>
      <w:r w:rsidR="006F7C9A" w:rsidRPr="00373DC2">
        <w:rPr>
          <w:rFonts w:eastAsia="Calibri" w:cstheme="minorHAnsi"/>
        </w:rPr>
        <w:t>r</w:t>
      </w:r>
      <w:r w:rsidR="00F240A2" w:rsidRPr="00373DC2">
        <w:rPr>
          <w:rFonts w:eastAsia="Calibri" w:cstheme="minorHAnsi"/>
        </w:rPr>
        <w:t xml:space="preserve"> ökonomische</w:t>
      </w:r>
      <w:r w:rsidR="006F7C9A" w:rsidRPr="00373DC2">
        <w:rPr>
          <w:rFonts w:eastAsia="Calibri" w:cstheme="minorHAnsi"/>
        </w:rPr>
        <w:t>n</w:t>
      </w:r>
      <w:r w:rsidR="00F240A2" w:rsidRPr="00373DC2">
        <w:rPr>
          <w:rFonts w:eastAsia="Calibri" w:cstheme="minorHAnsi"/>
        </w:rPr>
        <w:t xml:space="preserve"> und </w:t>
      </w:r>
      <w:r w:rsidR="00BF5824" w:rsidRPr="00373DC2">
        <w:rPr>
          <w:rFonts w:eastAsia="Calibri" w:cstheme="minorHAnsi"/>
        </w:rPr>
        <w:t>/ oder</w:t>
      </w:r>
      <w:r w:rsidR="00F240A2" w:rsidRPr="00373DC2">
        <w:rPr>
          <w:rFonts w:eastAsia="Calibri" w:cstheme="minorHAnsi"/>
        </w:rPr>
        <w:t xml:space="preserve"> ökologische</w:t>
      </w:r>
      <w:r w:rsidR="006F7C9A" w:rsidRPr="00373DC2">
        <w:rPr>
          <w:rFonts w:eastAsia="Calibri" w:cstheme="minorHAnsi"/>
        </w:rPr>
        <w:t>n</w:t>
      </w:r>
      <w:r w:rsidR="00F240A2" w:rsidRPr="00373DC2">
        <w:rPr>
          <w:rFonts w:eastAsia="Calibri" w:cstheme="minorHAnsi"/>
        </w:rPr>
        <w:t xml:space="preserve"> Bewertung von CCS und CCU </w:t>
      </w:r>
      <w:r w:rsidR="006F7C9A" w:rsidRPr="00373DC2">
        <w:rPr>
          <w:rFonts w:eastAsia="Calibri" w:cstheme="minorHAnsi"/>
        </w:rPr>
        <w:t>beitragen können</w:t>
      </w:r>
      <w:r w:rsidR="00F240A2" w:rsidRPr="00373DC2">
        <w:rPr>
          <w:rFonts w:eastAsia="Calibri" w:cstheme="minorHAnsi"/>
        </w:rPr>
        <w:t xml:space="preserve">. </w:t>
      </w:r>
      <w:r w:rsidR="00F240A2" w:rsidRPr="00373DC2">
        <w:rPr>
          <w:rFonts w:cstheme="minorHAnsi"/>
        </w:rPr>
        <w:t xml:space="preserve">Vorhaben sollten </w:t>
      </w:r>
      <w:r w:rsidR="00C544EF" w:rsidRPr="00373DC2">
        <w:rPr>
          <w:rFonts w:cstheme="minorHAnsi"/>
        </w:rPr>
        <w:t xml:space="preserve">vorrangig </w:t>
      </w:r>
      <w:r w:rsidR="00F240A2" w:rsidRPr="00373DC2">
        <w:rPr>
          <w:rFonts w:cstheme="minorHAnsi"/>
        </w:rPr>
        <w:t>mindestens eines der folgenden Themenfelder adressieren:</w:t>
      </w:r>
    </w:p>
    <w:p w14:paraId="17BA5EFB" w14:textId="710C4BAF" w:rsidR="00F240A2" w:rsidRPr="00373DC2" w:rsidRDefault="00F240A2" w:rsidP="00FF125D">
      <w:pPr>
        <w:numPr>
          <w:ilvl w:val="0"/>
          <w:numId w:val="31"/>
        </w:numPr>
        <w:spacing w:line="240" w:lineRule="auto"/>
        <w:ind w:left="1134"/>
        <w:rPr>
          <w:rFonts w:eastAsia="Calibri" w:cstheme="minorHAnsi"/>
        </w:rPr>
      </w:pPr>
      <w:r w:rsidRPr="00373DC2">
        <w:rPr>
          <w:rFonts w:eastAsia="Calibri" w:cstheme="minorHAnsi"/>
        </w:rPr>
        <w:t xml:space="preserve">die Entwicklung und Erprobung von innovativen und effizienten Anlagen </w:t>
      </w:r>
      <w:r w:rsidR="001D579D" w:rsidRPr="00373DC2">
        <w:rPr>
          <w:rFonts w:eastAsia="Calibri" w:cstheme="minorHAnsi"/>
        </w:rPr>
        <w:t xml:space="preserve">und Verfahren </w:t>
      </w:r>
      <w:r w:rsidRPr="00373DC2">
        <w:rPr>
          <w:rFonts w:eastAsia="Calibri" w:cstheme="minorHAnsi"/>
        </w:rPr>
        <w:t>zur CO</w:t>
      </w:r>
      <w:r w:rsidRPr="00373DC2">
        <w:rPr>
          <w:rFonts w:eastAsia="Calibri" w:cstheme="minorHAnsi"/>
          <w:vertAlign w:val="subscript"/>
        </w:rPr>
        <w:t>2</w:t>
      </w:r>
      <w:r w:rsidRPr="00373DC2">
        <w:rPr>
          <w:rFonts w:eastAsia="Calibri" w:cstheme="minorHAnsi"/>
        </w:rPr>
        <w:t>-Abscheidung</w:t>
      </w:r>
      <w:r w:rsidR="00BF5824" w:rsidRPr="00373DC2">
        <w:rPr>
          <w:rFonts w:eastAsia="Calibri" w:cstheme="minorHAnsi"/>
        </w:rPr>
        <w:t>,</w:t>
      </w:r>
    </w:p>
    <w:p w14:paraId="63DA85A5" w14:textId="1453CE26" w:rsidR="00F240A2" w:rsidRPr="00373DC2" w:rsidRDefault="00F240A2" w:rsidP="00FF125D">
      <w:pPr>
        <w:numPr>
          <w:ilvl w:val="0"/>
          <w:numId w:val="31"/>
        </w:numPr>
        <w:spacing w:line="240" w:lineRule="auto"/>
        <w:ind w:left="1134"/>
        <w:rPr>
          <w:rFonts w:eastAsia="Calibri" w:cstheme="minorHAnsi"/>
        </w:rPr>
      </w:pPr>
      <w:r w:rsidRPr="00373DC2">
        <w:rPr>
          <w:rFonts w:eastAsia="Calibri" w:cstheme="minorHAnsi"/>
        </w:rPr>
        <w:t xml:space="preserve">die Entwicklung und Erprobung von Anlagen </w:t>
      </w:r>
      <w:r w:rsidR="001D579D" w:rsidRPr="00373DC2">
        <w:rPr>
          <w:rFonts w:eastAsia="Calibri" w:cstheme="minorHAnsi"/>
        </w:rPr>
        <w:t xml:space="preserve">und Verfahren </w:t>
      </w:r>
      <w:r w:rsidRPr="00373DC2">
        <w:rPr>
          <w:rFonts w:eastAsia="Calibri" w:cstheme="minorHAnsi"/>
        </w:rPr>
        <w:t>zur Nutzung von CO</w:t>
      </w:r>
      <w:r w:rsidRPr="00373DC2">
        <w:rPr>
          <w:rFonts w:eastAsia="Calibri" w:cstheme="minorHAnsi"/>
          <w:vertAlign w:val="subscript"/>
        </w:rPr>
        <w:t>2</w:t>
      </w:r>
      <w:r w:rsidRPr="00373DC2">
        <w:rPr>
          <w:rFonts w:eastAsia="Calibri" w:cstheme="minorHAnsi"/>
        </w:rPr>
        <w:t xml:space="preserve"> als Rohstoffquelle</w:t>
      </w:r>
      <w:r w:rsidR="00BF5824" w:rsidRPr="00373DC2">
        <w:rPr>
          <w:rFonts w:eastAsia="Calibri" w:cstheme="minorHAnsi"/>
        </w:rPr>
        <w:t>,</w:t>
      </w:r>
    </w:p>
    <w:p w14:paraId="5145E933" w14:textId="33DD7CDD" w:rsidR="00F240A2" w:rsidRPr="00373DC2" w:rsidRDefault="00F240A2" w:rsidP="00FF125D">
      <w:pPr>
        <w:numPr>
          <w:ilvl w:val="0"/>
          <w:numId w:val="31"/>
        </w:numPr>
        <w:spacing w:line="240" w:lineRule="auto"/>
        <w:ind w:left="1134"/>
        <w:rPr>
          <w:rFonts w:eastAsia="Calibri" w:cstheme="minorHAnsi"/>
          <w:szCs w:val="24"/>
        </w:rPr>
      </w:pPr>
      <w:r w:rsidRPr="00373DC2">
        <w:rPr>
          <w:rFonts w:eastAsia="Calibri" w:cstheme="minorHAnsi"/>
          <w:szCs w:val="24"/>
        </w:rPr>
        <w:t>die Entwicklung und Erprobung von Technologien und Verfahren zur Abscheidung, Nutzung und/oder Speicherung von CO</w:t>
      </w:r>
      <w:r w:rsidRPr="00373DC2">
        <w:rPr>
          <w:rFonts w:eastAsia="Calibri" w:cstheme="minorHAnsi"/>
          <w:szCs w:val="24"/>
          <w:vertAlign w:val="subscript"/>
        </w:rPr>
        <w:t>2</w:t>
      </w:r>
      <w:r w:rsidRPr="00373DC2">
        <w:rPr>
          <w:rFonts w:eastAsia="Calibri" w:cstheme="minorHAnsi"/>
          <w:szCs w:val="24"/>
        </w:rPr>
        <w:t xml:space="preserve"> aus der Luft (Direct Air Capture, mit CCS sog. DACCS)</w:t>
      </w:r>
      <w:r w:rsidR="00C544EF" w:rsidRPr="00373DC2">
        <w:rPr>
          <w:rFonts w:eastAsia="Calibri" w:cstheme="minorHAnsi"/>
          <w:szCs w:val="24"/>
        </w:rPr>
        <w:t>,</w:t>
      </w:r>
    </w:p>
    <w:p w14:paraId="7EF748A2" w14:textId="37DEE381" w:rsidR="006F7C9A" w:rsidRPr="00373DC2" w:rsidRDefault="006F7C9A" w:rsidP="00FF125D">
      <w:pPr>
        <w:numPr>
          <w:ilvl w:val="0"/>
          <w:numId w:val="31"/>
        </w:numPr>
        <w:spacing w:line="240" w:lineRule="auto"/>
        <w:ind w:left="1134"/>
        <w:rPr>
          <w:rFonts w:eastAsia="Calibri" w:cstheme="minorHAnsi"/>
          <w:szCs w:val="24"/>
        </w:rPr>
      </w:pPr>
      <w:r w:rsidRPr="00373DC2">
        <w:rPr>
          <w:rFonts w:eastAsia="Calibri" w:cstheme="minorHAnsi"/>
          <w:szCs w:val="24"/>
        </w:rPr>
        <w:t>die Entwicklung und Erprobung von Verfahren zur Erkundung, Erschließung und dem Monitoring von CO</w:t>
      </w:r>
      <w:r w:rsidRPr="00373DC2">
        <w:rPr>
          <w:rFonts w:eastAsia="Calibri" w:cstheme="minorHAnsi"/>
          <w:szCs w:val="24"/>
          <w:vertAlign w:val="subscript"/>
        </w:rPr>
        <w:t>2</w:t>
      </w:r>
      <w:r w:rsidRPr="00373DC2">
        <w:rPr>
          <w:rFonts w:eastAsia="Calibri" w:cstheme="minorHAnsi"/>
          <w:szCs w:val="24"/>
        </w:rPr>
        <w:t>-Speichern</w:t>
      </w:r>
      <w:r w:rsidR="006502D5" w:rsidRPr="00373DC2">
        <w:rPr>
          <w:rFonts w:eastAsia="Calibri" w:cstheme="minorHAnsi"/>
          <w:szCs w:val="24"/>
        </w:rPr>
        <w:t>.</w:t>
      </w:r>
    </w:p>
    <w:p w14:paraId="430F3D74" w14:textId="16D12937" w:rsidR="00F240A2" w:rsidRPr="00373DC2" w:rsidRDefault="00F240A2" w:rsidP="00AA3131">
      <w:pPr>
        <w:pStyle w:val="Listenabsatz"/>
        <w:numPr>
          <w:ilvl w:val="0"/>
          <w:numId w:val="15"/>
        </w:numPr>
        <w:spacing w:line="240" w:lineRule="auto"/>
        <w:ind w:left="709" w:hanging="425"/>
        <w:contextualSpacing w:val="0"/>
        <w:rPr>
          <w:rFonts w:eastAsia="Calibri" w:cstheme="minorHAnsi"/>
          <w:szCs w:val="24"/>
          <w:lang w:val="x-none"/>
        </w:rPr>
      </w:pPr>
      <w:r w:rsidRPr="00373DC2">
        <w:rPr>
          <w:rFonts w:eastAsia="Times New Roman" w:cstheme="minorHAnsi"/>
        </w:rPr>
        <w:t>Im Zusammenhang mit einem der Themenfelder a-b kann auch die</w:t>
      </w:r>
      <w:r w:rsidRPr="00373DC2">
        <w:rPr>
          <w:rFonts w:eastAsia="Times New Roman" w:cstheme="minorHAnsi"/>
          <w:b/>
        </w:rPr>
        <w:t xml:space="preserve"> </w:t>
      </w:r>
      <w:r w:rsidRPr="00373DC2">
        <w:rPr>
          <w:rFonts w:eastAsia="Calibri" w:cstheme="minorHAnsi"/>
          <w:szCs w:val="24"/>
        </w:rPr>
        <w:t>Entwicklung und Erprobung von innovativen Verfahren zur CO</w:t>
      </w:r>
      <w:r w:rsidRPr="00373DC2">
        <w:rPr>
          <w:rFonts w:eastAsia="Calibri" w:cstheme="minorHAnsi"/>
          <w:szCs w:val="24"/>
          <w:vertAlign w:val="subscript"/>
        </w:rPr>
        <w:t>2</w:t>
      </w:r>
      <w:r w:rsidRPr="00373DC2">
        <w:rPr>
          <w:rFonts w:eastAsia="Calibri" w:cstheme="minorHAnsi"/>
          <w:szCs w:val="24"/>
        </w:rPr>
        <w:t>-Vermeidung prozessbedingter Emissionen</w:t>
      </w:r>
      <w:r w:rsidR="00B91133" w:rsidRPr="00373DC2">
        <w:rPr>
          <w:rFonts w:eastAsia="Calibri" w:cstheme="minorHAnsi"/>
          <w:szCs w:val="24"/>
        </w:rPr>
        <w:t>, die</w:t>
      </w:r>
      <w:r w:rsidRPr="00373DC2">
        <w:rPr>
          <w:rFonts w:eastAsia="Calibri" w:cstheme="minorHAnsi"/>
          <w:szCs w:val="24"/>
        </w:rPr>
        <w:t xml:space="preserve"> </w:t>
      </w:r>
      <w:r w:rsidR="00C544EF" w:rsidRPr="00373DC2">
        <w:rPr>
          <w:rFonts w:eastAsia="Calibri" w:cstheme="minorHAnsi"/>
          <w:szCs w:val="24"/>
        </w:rPr>
        <w:t xml:space="preserve">im Sinne der Carbon Management-Strategie </w:t>
      </w:r>
      <w:r w:rsidR="00BD40B1" w:rsidRPr="00373DC2">
        <w:rPr>
          <w:rFonts w:eastAsia="Calibri" w:cstheme="minorHAnsi"/>
          <w:szCs w:val="24"/>
        </w:rPr>
        <w:t>schwer vermeidbar</w:t>
      </w:r>
      <w:r w:rsidR="00B91133" w:rsidRPr="00373DC2">
        <w:rPr>
          <w:rFonts w:eastAsia="Calibri" w:cstheme="minorHAnsi"/>
          <w:szCs w:val="24"/>
        </w:rPr>
        <w:t xml:space="preserve"> sind,</w:t>
      </w:r>
      <w:r w:rsidR="00EA6B86" w:rsidRPr="00373DC2">
        <w:rPr>
          <w:rFonts w:eastAsia="Calibri" w:cstheme="minorHAnsi"/>
          <w:szCs w:val="24"/>
        </w:rPr>
        <w:t xml:space="preserve"> </w:t>
      </w:r>
      <w:r w:rsidRPr="00373DC2">
        <w:rPr>
          <w:rFonts w:eastAsia="Calibri" w:cstheme="minorHAnsi"/>
          <w:szCs w:val="24"/>
        </w:rPr>
        <w:t>gefördert werden.</w:t>
      </w:r>
    </w:p>
    <w:p w14:paraId="3AB56F79" w14:textId="7C8B0758" w:rsidR="00F240A2" w:rsidRPr="00373DC2" w:rsidRDefault="00F240A2" w:rsidP="00AA3131">
      <w:pPr>
        <w:pStyle w:val="Listenabsatz"/>
        <w:numPr>
          <w:ilvl w:val="0"/>
          <w:numId w:val="15"/>
        </w:numPr>
        <w:spacing w:line="240" w:lineRule="auto"/>
        <w:ind w:left="709" w:hanging="425"/>
        <w:contextualSpacing w:val="0"/>
        <w:rPr>
          <w:rFonts w:eastAsia="Calibri" w:cstheme="minorHAnsi"/>
          <w:szCs w:val="24"/>
          <w:lang w:val="x-none"/>
        </w:rPr>
      </w:pPr>
      <w:bookmarkStart w:id="42" w:name="_Hlk69933374"/>
      <w:bookmarkEnd w:id="40"/>
      <w:r w:rsidRPr="00373DC2">
        <w:rPr>
          <w:rFonts w:eastAsia="Calibri" w:cstheme="minorHAnsi"/>
          <w:szCs w:val="24"/>
          <w:lang w:val="x-none"/>
        </w:rPr>
        <w:t xml:space="preserve">Voraussetzung für eine Förderung ist ein Technology Readiness Level (TRL) von mindestens </w:t>
      </w:r>
      <w:r w:rsidRPr="00373DC2">
        <w:rPr>
          <w:rFonts w:eastAsia="Calibri" w:cstheme="minorHAnsi"/>
          <w:szCs w:val="24"/>
        </w:rPr>
        <w:t>4</w:t>
      </w:r>
      <w:r w:rsidR="004B0C33" w:rsidRPr="00373DC2">
        <w:rPr>
          <w:rFonts w:eastAsia="Calibri" w:cstheme="minorHAnsi"/>
          <w:szCs w:val="24"/>
        </w:rPr>
        <w:t xml:space="preserve">. </w:t>
      </w:r>
      <w:r w:rsidRPr="00373DC2">
        <w:rPr>
          <w:rFonts w:eastAsia="Calibri" w:cstheme="minorHAnsi"/>
          <w:szCs w:val="24"/>
          <w:lang w:val="x-none"/>
        </w:rPr>
        <w:t xml:space="preserve">Im Rahmen der Förderung soll mindestens ein TRL 7 erreicht werden, eine Förderung von </w:t>
      </w:r>
      <w:r w:rsidR="00BD40B1" w:rsidRPr="00373DC2">
        <w:rPr>
          <w:rFonts w:eastAsia="Calibri" w:cstheme="minorHAnsi"/>
          <w:szCs w:val="24"/>
        </w:rPr>
        <w:t xml:space="preserve">anwendungsorientierten </w:t>
      </w:r>
      <w:r w:rsidRPr="00373DC2">
        <w:rPr>
          <w:rFonts w:cstheme="minorHAnsi"/>
        </w:rPr>
        <w:t>Forschungs-, Entwicklungs- und Innovationsprojekten</w:t>
      </w:r>
      <w:r w:rsidRPr="00373DC2">
        <w:rPr>
          <w:rFonts w:eastAsia="Times New Roman" w:cstheme="minorHAnsi"/>
          <w:lang w:eastAsia="de-DE"/>
        </w:rPr>
        <w:t xml:space="preserve"> </w:t>
      </w:r>
      <w:r w:rsidRPr="00373DC2">
        <w:rPr>
          <w:rFonts w:eastAsia="Calibri" w:cstheme="minorHAnsi"/>
          <w:szCs w:val="24"/>
          <w:lang w:val="x-none"/>
        </w:rPr>
        <w:t>ist bis TRL 8 zulässig.</w:t>
      </w:r>
      <w:bookmarkEnd w:id="42"/>
    </w:p>
    <w:bookmarkEnd w:id="41"/>
    <w:p w14:paraId="6A0785F0" w14:textId="77777777" w:rsidR="00F240A2" w:rsidRPr="00373DC2" w:rsidRDefault="00F240A2" w:rsidP="00AA3131">
      <w:pPr>
        <w:pStyle w:val="Listenabsatz"/>
        <w:numPr>
          <w:ilvl w:val="0"/>
          <w:numId w:val="15"/>
        </w:numPr>
        <w:autoSpaceDE w:val="0"/>
        <w:autoSpaceDN w:val="0"/>
        <w:adjustRightInd w:val="0"/>
        <w:snapToGrid w:val="0"/>
        <w:spacing w:line="240" w:lineRule="auto"/>
        <w:ind w:left="709" w:hanging="425"/>
        <w:contextualSpacing w:val="0"/>
        <w:rPr>
          <w:rFonts w:cstheme="minorHAnsi"/>
          <w:szCs w:val="24"/>
        </w:rPr>
      </w:pPr>
      <w:r w:rsidRPr="00373DC2">
        <w:rPr>
          <w:rFonts w:cstheme="minorHAnsi"/>
          <w:szCs w:val="24"/>
        </w:rPr>
        <w:t>Der geförderte Teil von nach diesem Abschnitt geförderten Vorhaben muss darüber hinaus vollständig einer oder mehreren der folgenden Forschungs- oder Entwicklungskategorien zuzuordnen sein, Art. 25 Abs. 2 AGVO:</w:t>
      </w:r>
    </w:p>
    <w:p w14:paraId="10744162" w14:textId="77777777" w:rsidR="007D2364" w:rsidRPr="00373DC2" w:rsidRDefault="007D2364" w:rsidP="00FF125D">
      <w:pPr>
        <w:pStyle w:val="Listenabsatz"/>
        <w:numPr>
          <w:ilvl w:val="0"/>
          <w:numId w:val="32"/>
        </w:numPr>
        <w:spacing w:line="240" w:lineRule="auto"/>
        <w:contextualSpacing w:val="0"/>
        <w:rPr>
          <w:rFonts w:cstheme="minorHAnsi"/>
        </w:rPr>
      </w:pPr>
      <w:r w:rsidRPr="00373DC2">
        <w:rPr>
          <w:rFonts w:cstheme="minorHAnsi"/>
        </w:rPr>
        <w:lastRenderedPageBreak/>
        <w:t xml:space="preserve">industrielle Forschung entsprechend Art. 2 Nr. 85 AGVO, </w:t>
      </w:r>
    </w:p>
    <w:p w14:paraId="56FCF669" w14:textId="77777777" w:rsidR="007D2364" w:rsidRPr="00373DC2" w:rsidRDefault="007D2364" w:rsidP="00FF125D">
      <w:pPr>
        <w:pStyle w:val="Listenabsatz"/>
        <w:numPr>
          <w:ilvl w:val="0"/>
          <w:numId w:val="32"/>
        </w:numPr>
        <w:spacing w:line="240" w:lineRule="auto"/>
        <w:contextualSpacing w:val="0"/>
        <w:rPr>
          <w:rFonts w:cstheme="minorHAnsi"/>
        </w:rPr>
      </w:pPr>
      <w:r w:rsidRPr="00373DC2">
        <w:rPr>
          <w:rFonts w:cstheme="minorHAnsi"/>
        </w:rPr>
        <w:t xml:space="preserve">experimentelle Entwicklung entsprechend Art. 2 Nr. 86 AGVO, </w:t>
      </w:r>
    </w:p>
    <w:p w14:paraId="4186019F" w14:textId="77777777" w:rsidR="007D2364" w:rsidRPr="00373DC2" w:rsidRDefault="007D2364" w:rsidP="00FF125D">
      <w:pPr>
        <w:pStyle w:val="Listenabsatz"/>
        <w:numPr>
          <w:ilvl w:val="0"/>
          <w:numId w:val="32"/>
        </w:numPr>
        <w:spacing w:line="240" w:lineRule="auto"/>
        <w:contextualSpacing w:val="0"/>
        <w:rPr>
          <w:rFonts w:cstheme="minorHAnsi"/>
        </w:rPr>
      </w:pPr>
      <w:r w:rsidRPr="00373DC2">
        <w:rPr>
          <w:rFonts w:cstheme="minorHAnsi"/>
        </w:rPr>
        <w:t>projektbezogene Durchführbarkeitsstudien entsprechend Art. 2 Nr. 87 AGVO.</w:t>
      </w:r>
    </w:p>
    <w:p w14:paraId="360745EF" w14:textId="7126E524" w:rsidR="00E55C8F" w:rsidRPr="00373DC2" w:rsidRDefault="00C9572E" w:rsidP="00504AB3">
      <w:pPr>
        <w:spacing w:line="240" w:lineRule="auto"/>
        <w:rPr>
          <w:rFonts w:cstheme="minorHAnsi"/>
          <w:b/>
        </w:rPr>
      </w:pPr>
      <w:r w:rsidRPr="00373DC2">
        <w:rPr>
          <w:rFonts w:cstheme="minorHAnsi"/>
          <w:b/>
        </w:rPr>
        <w:t>6.</w:t>
      </w:r>
      <w:r w:rsidR="00BF5824" w:rsidRPr="00373DC2">
        <w:rPr>
          <w:rFonts w:cstheme="minorHAnsi"/>
          <w:b/>
          <w:bCs/>
        </w:rPr>
        <w:t>4</w:t>
      </w:r>
      <w:r w:rsidRPr="00373DC2">
        <w:rPr>
          <w:rFonts w:cstheme="minorHAnsi"/>
          <w:b/>
        </w:rPr>
        <w:t xml:space="preserve"> Zuwendungsempfänger</w:t>
      </w:r>
    </w:p>
    <w:p w14:paraId="5012AE7A" w14:textId="131258F9" w:rsidR="00E55C8F" w:rsidRPr="00373DC2" w:rsidRDefault="00E55C8F" w:rsidP="00AA3131">
      <w:pPr>
        <w:pStyle w:val="Textkrper"/>
        <w:numPr>
          <w:ilvl w:val="0"/>
          <w:numId w:val="9"/>
        </w:numPr>
        <w:spacing w:line="240" w:lineRule="auto"/>
        <w:ind w:left="709" w:hanging="425"/>
        <w:rPr>
          <w:rFonts w:cstheme="minorHAnsi"/>
        </w:rPr>
      </w:pPr>
      <w:r w:rsidRPr="00373DC2">
        <w:rPr>
          <w:rFonts w:cstheme="minorHAnsi"/>
        </w:rPr>
        <w:t>Antragsberechtigt sind</w:t>
      </w:r>
      <w:r w:rsidR="00BE79B2">
        <w:rPr>
          <w:rFonts w:cstheme="minorHAnsi"/>
        </w:rPr>
        <w:t xml:space="preserve"> einzelne</w:t>
      </w:r>
      <w:r w:rsidRPr="00373DC2">
        <w:rPr>
          <w:rFonts w:cstheme="minorHAnsi"/>
        </w:rPr>
        <w:t xml:space="preserve"> Unternehmen, die Anlagen </w:t>
      </w:r>
      <w:r w:rsidR="00D463B4" w:rsidRPr="00373DC2">
        <w:rPr>
          <w:rFonts w:cstheme="minorHAnsi"/>
        </w:rPr>
        <w:t xml:space="preserve">mit </w:t>
      </w:r>
      <w:r w:rsidR="00C544EF" w:rsidRPr="00373DC2">
        <w:rPr>
          <w:rFonts w:cstheme="minorHAnsi"/>
        </w:rPr>
        <w:t>im Sinne der Carbon Management-Strategie</w:t>
      </w:r>
      <w:r w:rsidR="002F1D9C" w:rsidRPr="00373DC2">
        <w:rPr>
          <w:rFonts w:cstheme="minorHAnsi"/>
        </w:rPr>
        <w:t xml:space="preserve"> </w:t>
      </w:r>
      <w:r w:rsidR="00EA6B86" w:rsidRPr="00373DC2">
        <w:rPr>
          <w:rFonts w:cstheme="minorHAnsi"/>
        </w:rPr>
        <w:t xml:space="preserve">schwer </w:t>
      </w:r>
      <w:r w:rsidR="00D463B4" w:rsidRPr="00373DC2">
        <w:rPr>
          <w:rFonts w:cstheme="minorHAnsi"/>
        </w:rPr>
        <w:t>vermeidbare</w:t>
      </w:r>
      <w:r w:rsidR="002F1D9C" w:rsidRPr="00373DC2">
        <w:rPr>
          <w:rFonts w:cstheme="minorHAnsi"/>
        </w:rPr>
        <w:t>n</w:t>
      </w:r>
      <w:r w:rsidR="00D463B4" w:rsidRPr="00373DC2">
        <w:rPr>
          <w:rFonts w:cstheme="minorHAnsi"/>
        </w:rPr>
        <w:t xml:space="preserve"> Emissionen von CO</w:t>
      </w:r>
      <w:r w:rsidR="00D463B4" w:rsidRPr="00373DC2">
        <w:rPr>
          <w:rFonts w:cstheme="minorHAnsi"/>
          <w:vertAlign w:val="subscript"/>
        </w:rPr>
        <w:t>2</w:t>
      </w:r>
      <w:r w:rsidR="00D463B4" w:rsidRPr="00373DC2">
        <w:rPr>
          <w:rFonts w:cstheme="minorHAnsi"/>
        </w:rPr>
        <w:t xml:space="preserve"> </w:t>
      </w:r>
      <w:r w:rsidRPr="00373DC2">
        <w:rPr>
          <w:rFonts w:cstheme="minorHAnsi"/>
        </w:rPr>
        <w:t xml:space="preserve">planen oder betreiben, sowie Konsortien. Ein Konsortium besteht aus mehreren antragsberechtigten Unternehmen, die ein oder mehrere Produkte gemeinsam in Deutschland herstellen oder planen herzustellen. </w:t>
      </w:r>
    </w:p>
    <w:p w14:paraId="77BC5130" w14:textId="0F3AE3FB" w:rsidR="00E55C8F" w:rsidRPr="00373DC2" w:rsidRDefault="00E55C8F" w:rsidP="00AA3131">
      <w:pPr>
        <w:pStyle w:val="Textkrper"/>
        <w:numPr>
          <w:ilvl w:val="0"/>
          <w:numId w:val="9"/>
        </w:numPr>
        <w:spacing w:line="240" w:lineRule="auto"/>
        <w:ind w:left="709" w:hanging="425"/>
        <w:rPr>
          <w:rFonts w:cstheme="minorHAnsi"/>
        </w:rPr>
      </w:pPr>
      <w:r w:rsidRPr="00373DC2">
        <w:rPr>
          <w:rFonts w:cstheme="minorHAnsi"/>
        </w:rPr>
        <w:t xml:space="preserve">Bei </w:t>
      </w:r>
      <w:r w:rsidR="002A7EDC" w:rsidRPr="00373DC2">
        <w:rPr>
          <w:rFonts w:cstheme="minorHAnsi"/>
        </w:rPr>
        <w:t>Innovationsvorhaben (</w:t>
      </w:r>
      <w:r w:rsidR="0089164D" w:rsidRPr="00373DC2">
        <w:rPr>
          <w:rFonts w:cstheme="minorHAnsi"/>
        </w:rPr>
        <w:t xml:space="preserve">anwendungsorientierten </w:t>
      </w:r>
      <w:r w:rsidRPr="00373DC2">
        <w:rPr>
          <w:rFonts w:cstheme="minorHAnsi"/>
        </w:rPr>
        <w:t>Forschungs- und Entwicklungsvorhaben</w:t>
      </w:r>
      <w:r w:rsidR="002A7EDC" w:rsidRPr="00373DC2">
        <w:rPr>
          <w:rFonts w:cstheme="minorHAnsi"/>
        </w:rPr>
        <w:t>)</w:t>
      </w:r>
      <w:r w:rsidRPr="00373DC2">
        <w:rPr>
          <w:rFonts w:cstheme="minorHAnsi"/>
        </w:rPr>
        <w:t xml:space="preserve"> nach Teilmodul </w:t>
      </w:r>
      <w:r w:rsidR="00F240A2" w:rsidRPr="00373DC2">
        <w:rPr>
          <w:rFonts w:cstheme="minorHAnsi"/>
        </w:rPr>
        <w:t>2</w:t>
      </w:r>
      <w:r w:rsidRPr="00373DC2">
        <w:rPr>
          <w:rFonts w:cstheme="minorHAnsi"/>
        </w:rPr>
        <w:t xml:space="preserve"> kann ein Konsortium auch aus mehreren </w:t>
      </w:r>
      <w:r w:rsidR="004E57E5" w:rsidRPr="00373DC2">
        <w:rPr>
          <w:rFonts w:cstheme="minorHAnsi"/>
        </w:rPr>
        <w:t xml:space="preserve">antragsberechtigten </w:t>
      </w:r>
      <w:r w:rsidR="009B1B96" w:rsidRPr="00373DC2">
        <w:rPr>
          <w:rFonts w:cstheme="minorHAnsi"/>
        </w:rPr>
        <w:t>Forschungseinrichtungen</w:t>
      </w:r>
      <w:r w:rsidR="00F1184C" w:rsidRPr="00373DC2">
        <w:rPr>
          <w:rFonts w:cstheme="minorHAnsi"/>
        </w:rPr>
        <w:t>, Hochsc</w:t>
      </w:r>
      <w:r w:rsidR="002512C4" w:rsidRPr="00373DC2">
        <w:rPr>
          <w:rFonts w:cstheme="minorHAnsi"/>
        </w:rPr>
        <w:t>h</w:t>
      </w:r>
      <w:r w:rsidR="00F1184C" w:rsidRPr="00373DC2">
        <w:rPr>
          <w:rFonts w:cstheme="minorHAnsi"/>
        </w:rPr>
        <w:t>ulen</w:t>
      </w:r>
      <w:r w:rsidR="00A55BB7" w:rsidRPr="00373DC2">
        <w:rPr>
          <w:rFonts w:cstheme="minorHAnsi"/>
        </w:rPr>
        <w:t>,</w:t>
      </w:r>
      <w:r w:rsidR="00F1184C" w:rsidRPr="00373DC2">
        <w:rPr>
          <w:rFonts w:cstheme="minorHAnsi"/>
        </w:rPr>
        <w:t xml:space="preserve"> Universitäten</w:t>
      </w:r>
      <w:r w:rsidR="009B1B96" w:rsidRPr="00373DC2">
        <w:rPr>
          <w:rFonts w:cstheme="minorHAnsi"/>
        </w:rPr>
        <w:t xml:space="preserve"> und </w:t>
      </w:r>
      <w:r w:rsidR="00A55BB7" w:rsidRPr="00373DC2">
        <w:rPr>
          <w:rFonts w:cstheme="minorHAnsi"/>
        </w:rPr>
        <w:t xml:space="preserve">mindestens einem </w:t>
      </w:r>
      <w:r w:rsidRPr="00373DC2">
        <w:rPr>
          <w:rFonts w:cstheme="minorHAnsi"/>
        </w:rPr>
        <w:t>Unternehmen bestehen</w:t>
      </w:r>
      <w:r w:rsidR="009B1B96" w:rsidRPr="00373DC2">
        <w:rPr>
          <w:rFonts w:cstheme="minorHAnsi"/>
        </w:rPr>
        <w:t>. Bei den Unternehmen muss</w:t>
      </w:r>
      <w:r w:rsidRPr="00373DC2">
        <w:rPr>
          <w:rFonts w:cstheme="minorHAnsi"/>
        </w:rPr>
        <w:t xml:space="preserve"> mindestens eins einer nach Absatz 1 genannten Tätigkeit nachgeh</w:t>
      </w:r>
      <w:r w:rsidR="009B1B96" w:rsidRPr="00373DC2">
        <w:rPr>
          <w:rFonts w:cstheme="minorHAnsi"/>
        </w:rPr>
        <w:t>en</w:t>
      </w:r>
      <w:r w:rsidRPr="00373DC2">
        <w:rPr>
          <w:rFonts w:cstheme="minorHAnsi"/>
        </w:rPr>
        <w:t xml:space="preserve"> und die </w:t>
      </w:r>
      <w:r w:rsidR="009B1B96" w:rsidRPr="00373DC2">
        <w:rPr>
          <w:rFonts w:cstheme="minorHAnsi"/>
        </w:rPr>
        <w:t>Projekte</w:t>
      </w:r>
      <w:r w:rsidRPr="00373DC2">
        <w:rPr>
          <w:rFonts w:cstheme="minorHAnsi"/>
        </w:rPr>
        <w:t>rgebnisse industriell in einer Produktionsstätte in Deutschland anwenden w</w:t>
      </w:r>
      <w:r w:rsidR="009B1B96" w:rsidRPr="00373DC2">
        <w:rPr>
          <w:rFonts w:cstheme="minorHAnsi"/>
        </w:rPr>
        <w:t>ollen</w:t>
      </w:r>
      <w:r w:rsidRPr="00373DC2">
        <w:rPr>
          <w:rFonts w:cstheme="minorHAnsi"/>
        </w:rPr>
        <w:t xml:space="preserve">. </w:t>
      </w:r>
    </w:p>
    <w:p w14:paraId="0E839A99" w14:textId="57649BB5" w:rsidR="00E55C8F" w:rsidRPr="00373DC2" w:rsidRDefault="0030499E" w:rsidP="00AA3131">
      <w:pPr>
        <w:pStyle w:val="Textkrper"/>
        <w:numPr>
          <w:ilvl w:val="0"/>
          <w:numId w:val="9"/>
        </w:numPr>
        <w:spacing w:line="240" w:lineRule="auto"/>
        <w:ind w:left="709" w:hanging="425"/>
        <w:rPr>
          <w:rFonts w:cstheme="minorHAnsi"/>
        </w:rPr>
      </w:pPr>
      <w:r w:rsidRPr="00373DC2">
        <w:rPr>
          <w:rFonts w:cstheme="minorHAnsi"/>
        </w:rPr>
        <w:t>Bei einem Konsortium muss jeder Projektpartner einen separaten Antrag einreichen</w:t>
      </w:r>
      <w:r w:rsidR="00E55C8F" w:rsidRPr="00373DC2">
        <w:rPr>
          <w:rFonts w:cstheme="minorHAnsi"/>
        </w:rPr>
        <w:t xml:space="preserve">. </w:t>
      </w:r>
    </w:p>
    <w:p w14:paraId="69CE924E" w14:textId="1073569A" w:rsidR="00E55C8F" w:rsidRPr="00373DC2" w:rsidRDefault="00E55C8F" w:rsidP="00AA3131">
      <w:pPr>
        <w:pStyle w:val="Textkrper"/>
        <w:numPr>
          <w:ilvl w:val="0"/>
          <w:numId w:val="9"/>
        </w:numPr>
        <w:spacing w:line="240" w:lineRule="auto"/>
        <w:ind w:left="709" w:hanging="425"/>
        <w:rPr>
          <w:rFonts w:cstheme="minorHAnsi"/>
        </w:rPr>
      </w:pPr>
      <w:r w:rsidRPr="00373DC2">
        <w:rPr>
          <w:rFonts w:cstheme="minorHAnsi"/>
        </w:rPr>
        <w:t xml:space="preserve">Zuwendungsempfänger müssen eine Betriebsstätte oder Niederlassung in Deutschland haben. Vorhaben, für die eine Förderung beantragt wird, müssen auf dem Gebiet der Bundesrepublik Deutschland umgesetzt werden. Bei grenzüberschreitenden Vorhaben sind nur die in Deutschland geplanten Investitionen </w:t>
      </w:r>
      <w:r w:rsidR="00EC695B" w:rsidRPr="00373DC2">
        <w:rPr>
          <w:rFonts w:cstheme="minorHAnsi"/>
        </w:rPr>
        <w:t xml:space="preserve">bzw. projektbezogene </w:t>
      </w:r>
      <w:r w:rsidR="004E57E5" w:rsidRPr="00373DC2">
        <w:rPr>
          <w:rFonts w:cstheme="minorHAnsi"/>
        </w:rPr>
        <w:t>Kosten</w:t>
      </w:r>
      <w:r w:rsidR="00EC695B" w:rsidRPr="00373DC2">
        <w:rPr>
          <w:rFonts w:cstheme="minorHAnsi"/>
        </w:rPr>
        <w:t xml:space="preserve"> für Forschung und Entwicklung </w:t>
      </w:r>
      <w:r w:rsidR="004E57E5" w:rsidRPr="00373DC2">
        <w:rPr>
          <w:rFonts w:cstheme="minorHAnsi"/>
        </w:rPr>
        <w:t xml:space="preserve">(Sach- und Personalkosten) </w:t>
      </w:r>
      <w:r w:rsidRPr="00373DC2">
        <w:rPr>
          <w:rFonts w:cstheme="minorHAnsi"/>
        </w:rPr>
        <w:t>förderfähig.</w:t>
      </w:r>
    </w:p>
    <w:p w14:paraId="34CFB96A" w14:textId="77777777" w:rsidR="00E55C8F" w:rsidRPr="00373DC2" w:rsidRDefault="00E55C8F" w:rsidP="00AA3131">
      <w:pPr>
        <w:pStyle w:val="Textkrper"/>
        <w:numPr>
          <w:ilvl w:val="0"/>
          <w:numId w:val="9"/>
        </w:numPr>
        <w:spacing w:line="240" w:lineRule="auto"/>
        <w:ind w:left="709" w:hanging="425"/>
        <w:rPr>
          <w:rFonts w:cstheme="minorHAnsi"/>
        </w:rPr>
      </w:pPr>
      <w:r w:rsidRPr="00373DC2">
        <w:rPr>
          <w:rFonts w:cstheme="minorHAnsi"/>
        </w:rPr>
        <w:t>Der Zuwendungsempfänger muss schriftlich bestätigen, dass er in der Lage ist, den gesamten Eigenanteil an den zuwendungsfähigen und nicht zuwendungsfähigen Kosten der geförderten Vorhaben zu tragen.</w:t>
      </w:r>
    </w:p>
    <w:p w14:paraId="0744C4E9" w14:textId="77777777" w:rsidR="00E55C8F" w:rsidRPr="00373DC2" w:rsidRDefault="00E55C8F" w:rsidP="00504AB3">
      <w:pPr>
        <w:spacing w:line="240" w:lineRule="auto"/>
        <w:rPr>
          <w:rFonts w:cstheme="minorHAnsi"/>
        </w:rPr>
      </w:pPr>
    </w:p>
    <w:p w14:paraId="4822BC43" w14:textId="584F929F" w:rsidR="00C9572E" w:rsidRPr="00373DC2" w:rsidRDefault="00C9572E" w:rsidP="00504AB3">
      <w:pPr>
        <w:spacing w:line="240" w:lineRule="auto"/>
        <w:rPr>
          <w:rFonts w:cstheme="minorHAnsi"/>
          <w:b/>
        </w:rPr>
      </w:pPr>
      <w:r w:rsidRPr="00373DC2">
        <w:rPr>
          <w:rFonts w:cstheme="minorHAnsi"/>
          <w:b/>
        </w:rPr>
        <w:t>6.</w:t>
      </w:r>
      <w:r w:rsidR="006813A5" w:rsidRPr="00373DC2">
        <w:rPr>
          <w:rFonts w:cstheme="minorHAnsi"/>
          <w:b/>
          <w:bCs/>
        </w:rPr>
        <w:t>5</w:t>
      </w:r>
      <w:r w:rsidRPr="00373DC2">
        <w:rPr>
          <w:rFonts w:cstheme="minorHAnsi"/>
          <w:b/>
        </w:rPr>
        <w:t xml:space="preserve"> Höhe der Förderung </w:t>
      </w:r>
    </w:p>
    <w:p w14:paraId="2AD4D343" w14:textId="7FB8B054" w:rsidR="00A97C7F" w:rsidRPr="00373DC2" w:rsidRDefault="00A97C7F" w:rsidP="00504AB3">
      <w:pPr>
        <w:spacing w:line="240" w:lineRule="auto"/>
        <w:rPr>
          <w:rFonts w:cstheme="minorHAnsi"/>
          <w:b/>
        </w:rPr>
      </w:pPr>
      <w:r w:rsidRPr="00373DC2">
        <w:rPr>
          <w:rFonts w:cstheme="minorHAnsi"/>
          <w:b/>
        </w:rPr>
        <w:t>6.</w:t>
      </w:r>
      <w:r w:rsidR="006813A5" w:rsidRPr="00373DC2">
        <w:rPr>
          <w:rFonts w:cstheme="minorHAnsi"/>
          <w:b/>
          <w:bCs/>
        </w:rPr>
        <w:t>5</w:t>
      </w:r>
      <w:r w:rsidRPr="00373DC2">
        <w:rPr>
          <w:rFonts w:cstheme="minorHAnsi"/>
          <w:b/>
        </w:rPr>
        <w:t>.1 Teilmodul 1 Investitionsvorhaben</w:t>
      </w:r>
    </w:p>
    <w:p w14:paraId="6BE77EBA" w14:textId="1508A04A" w:rsidR="007D6631" w:rsidRPr="00373DC2" w:rsidRDefault="00142A18" w:rsidP="00504AB3">
      <w:pPr>
        <w:spacing w:line="240" w:lineRule="auto"/>
        <w:ind w:left="709" w:hanging="425"/>
        <w:rPr>
          <w:rFonts w:cstheme="minorHAnsi"/>
        </w:rPr>
      </w:pPr>
      <w:r w:rsidRPr="00373DC2">
        <w:rPr>
          <w:rFonts w:cstheme="minorHAnsi"/>
        </w:rPr>
        <w:t>(1)</w:t>
      </w:r>
      <w:r w:rsidRPr="00373DC2">
        <w:rPr>
          <w:rFonts w:cstheme="minorHAnsi"/>
        </w:rPr>
        <w:tab/>
      </w:r>
      <w:r w:rsidR="004D787F" w:rsidRPr="00373DC2">
        <w:rPr>
          <w:rFonts w:cstheme="minorHAnsi"/>
        </w:rPr>
        <w:t xml:space="preserve">Die Förderung für </w:t>
      </w:r>
      <w:r w:rsidR="007D6631" w:rsidRPr="00373DC2">
        <w:rPr>
          <w:rFonts w:cstheme="minorHAnsi"/>
        </w:rPr>
        <w:t xml:space="preserve">Investitionsvorhaben </w:t>
      </w:r>
      <w:r w:rsidR="004D787F" w:rsidRPr="00373DC2">
        <w:rPr>
          <w:rFonts w:cstheme="minorHAnsi"/>
        </w:rPr>
        <w:t xml:space="preserve">beträgt </w:t>
      </w:r>
      <w:r w:rsidR="007D6631" w:rsidRPr="00373DC2">
        <w:rPr>
          <w:rFonts w:cstheme="minorHAnsi"/>
        </w:rPr>
        <w:t>bis zu 25 Mi</w:t>
      </w:r>
      <w:r w:rsidR="00B6067E" w:rsidRPr="00373DC2">
        <w:rPr>
          <w:rFonts w:cstheme="minorHAnsi"/>
        </w:rPr>
        <w:t>llionen</w:t>
      </w:r>
      <w:r w:rsidR="007D6631" w:rsidRPr="00373DC2">
        <w:rPr>
          <w:rFonts w:cstheme="minorHAnsi"/>
        </w:rPr>
        <w:t xml:space="preserve"> Euro</w:t>
      </w:r>
      <w:r w:rsidR="00B6067E" w:rsidRPr="00373DC2">
        <w:rPr>
          <w:rFonts w:cstheme="minorHAnsi"/>
        </w:rPr>
        <w:t xml:space="preserve"> für gewidmete Infrastruktur und Speicher und bis </w:t>
      </w:r>
      <w:r w:rsidR="009F586C" w:rsidRPr="00373DC2">
        <w:rPr>
          <w:rFonts w:cstheme="minorHAnsi"/>
        </w:rPr>
        <w:t>maximal</w:t>
      </w:r>
      <w:r w:rsidR="00B6067E" w:rsidRPr="00373DC2">
        <w:rPr>
          <w:rFonts w:cstheme="minorHAnsi"/>
        </w:rPr>
        <w:t xml:space="preserve"> 30 Millionen Euro für andere Investitionsvorhaben</w:t>
      </w:r>
      <w:r w:rsidR="00A1480C" w:rsidRPr="00373DC2">
        <w:rPr>
          <w:rFonts w:cstheme="minorHAnsi"/>
        </w:rPr>
        <w:t xml:space="preserve"> in Teilmodul 1</w:t>
      </w:r>
      <w:r w:rsidR="007D6631" w:rsidRPr="00373DC2">
        <w:rPr>
          <w:rFonts w:cstheme="minorHAnsi"/>
        </w:rPr>
        <w:t>.</w:t>
      </w:r>
      <w:r w:rsidR="007D6631" w:rsidRPr="00373DC2">
        <w:rPr>
          <w:rFonts w:cstheme="minorHAnsi"/>
          <w:color w:val="333333"/>
          <w:sz w:val="27"/>
          <w:szCs w:val="27"/>
          <w:shd w:val="clear" w:color="auto" w:fill="FFFFFF"/>
        </w:rPr>
        <w:t xml:space="preserve"> </w:t>
      </w:r>
      <w:r w:rsidR="00480291" w:rsidRPr="00373DC2">
        <w:rPr>
          <w:rFonts w:cstheme="minorHAnsi"/>
        </w:rPr>
        <w:t xml:space="preserve">Die </w:t>
      </w:r>
      <w:r w:rsidR="009D76D8" w:rsidRPr="00373DC2">
        <w:rPr>
          <w:rFonts w:cstheme="minorHAnsi"/>
        </w:rPr>
        <w:t>Förder</w:t>
      </w:r>
      <w:r w:rsidR="00480291" w:rsidRPr="00373DC2">
        <w:rPr>
          <w:rFonts w:cstheme="minorHAnsi"/>
        </w:rPr>
        <w:t xml:space="preserve">intensität beträgt </w:t>
      </w:r>
      <w:r w:rsidR="002E467B" w:rsidRPr="00373DC2">
        <w:rPr>
          <w:rFonts w:cstheme="minorHAnsi"/>
        </w:rPr>
        <w:t xml:space="preserve">bis zu </w:t>
      </w:r>
      <w:r w:rsidR="00480291" w:rsidRPr="00373DC2">
        <w:rPr>
          <w:rFonts w:cstheme="minorHAnsi"/>
        </w:rPr>
        <w:t>30 </w:t>
      </w:r>
      <w:r w:rsidR="00F850CC">
        <w:rPr>
          <w:rFonts w:cstheme="minorHAnsi"/>
        </w:rPr>
        <w:t>Prozent</w:t>
      </w:r>
      <w:r w:rsidR="00480291" w:rsidRPr="00373DC2">
        <w:rPr>
          <w:rFonts w:cstheme="minorHAnsi"/>
        </w:rPr>
        <w:t xml:space="preserve"> der förderfähigen Kosten. Förderfähig sind ausschließlich die Investitionsmehrkosten, die sich aus der Abscheidung von CO</w:t>
      </w:r>
      <w:r w:rsidR="00480291" w:rsidRPr="00373DC2">
        <w:rPr>
          <w:rFonts w:cstheme="minorHAnsi"/>
          <w:vertAlign w:val="subscript"/>
        </w:rPr>
        <w:t>2</w:t>
      </w:r>
      <w:r w:rsidR="00480291" w:rsidRPr="00373DC2">
        <w:rPr>
          <w:rFonts w:cstheme="minorHAnsi"/>
        </w:rPr>
        <w:t xml:space="preserve"> aus einer </w:t>
      </w:r>
      <w:r w:rsidR="00553516">
        <w:rPr>
          <w:rFonts w:cstheme="minorHAnsi"/>
        </w:rPr>
        <w:t xml:space="preserve">gemäß Bekanntmachung förderfähigen </w:t>
      </w:r>
      <w:r w:rsidR="00480291" w:rsidRPr="00373DC2">
        <w:rPr>
          <w:rFonts w:cstheme="minorHAnsi"/>
        </w:rPr>
        <w:t>CO</w:t>
      </w:r>
      <w:r w:rsidR="00480291" w:rsidRPr="00373DC2">
        <w:rPr>
          <w:rFonts w:cstheme="minorHAnsi"/>
          <w:vertAlign w:val="subscript"/>
        </w:rPr>
        <w:t>2</w:t>
      </w:r>
      <w:r w:rsidR="00480291" w:rsidRPr="00373DC2">
        <w:rPr>
          <w:rFonts w:cstheme="minorHAnsi"/>
        </w:rPr>
        <w:t> emittierenden Anlage oder direkt aus der Umgebungsluft sowie aus der Pufferspeicherung und dem Transport abgeschiedener CO</w:t>
      </w:r>
      <w:r w:rsidR="00480291" w:rsidRPr="00373DC2">
        <w:rPr>
          <w:rFonts w:cstheme="minorHAnsi"/>
          <w:vertAlign w:val="subscript"/>
        </w:rPr>
        <w:t>2</w:t>
      </w:r>
      <w:r w:rsidR="00480291" w:rsidRPr="00373DC2">
        <w:rPr>
          <w:rFonts w:cstheme="minorHAnsi"/>
        </w:rPr>
        <w:t>-Emissionen ergeben.</w:t>
      </w:r>
    </w:p>
    <w:p w14:paraId="4D2E6EC3" w14:textId="77777777" w:rsidR="00480291" w:rsidRPr="00373DC2" w:rsidRDefault="00480291" w:rsidP="00504AB3">
      <w:pPr>
        <w:spacing w:line="240" w:lineRule="auto"/>
        <w:ind w:left="709" w:hanging="425"/>
        <w:rPr>
          <w:rFonts w:cstheme="minorHAnsi"/>
        </w:rPr>
      </w:pPr>
      <w:r w:rsidRPr="00373DC2">
        <w:rPr>
          <w:rFonts w:cstheme="minorHAnsi"/>
          <w:lang w:eastAsia="de-DE"/>
        </w:rPr>
        <w:t>(2)</w:t>
      </w:r>
      <w:r w:rsidRPr="00373DC2">
        <w:rPr>
          <w:rFonts w:cstheme="minorHAnsi"/>
          <w:lang w:eastAsia="de-DE"/>
        </w:rPr>
        <w:tab/>
      </w:r>
      <w:r w:rsidRPr="00373DC2">
        <w:rPr>
          <w:rFonts w:cstheme="minorHAnsi"/>
        </w:rPr>
        <w:t xml:space="preserve">Förderfähig sind die Investitionsmehrkosten, die anhand eines Vergleichs der Kosten der Investition mit denen des kontrafaktischen Szenarios, d. h. ohne die Beihilfe, wie folgt ermittelt werden: </w:t>
      </w:r>
    </w:p>
    <w:p w14:paraId="23291450" w14:textId="582D10A8" w:rsidR="00480291" w:rsidRPr="00373DC2" w:rsidRDefault="00480291" w:rsidP="00FF125D">
      <w:pPr>
        <w:pStyle w:val="Listenabsatz"/>
        <w:numPr>
          <w:ilvl w:val="0"/>
          <w:numId w:val="33"/>
        </w:numPr>
      </w:pPr>
      <w:r w:rsidRPr="00373DC2">
        <w:t xml:space="preserve">Besteht das kontrafaktische Szenario in der Durchführung einer weniger umweltfreundlichen Investition, die der üblichen Geschäftspraxis in dem betreffenden Wirtschaftszweig oder für die betreffende Tätigkeit entspricht, so ergeben sich die </w:t>
      </w:r>
      <w:r w:rsidR="009D76D8" w:rsidRPr="00373DC2">
        <w:t>förder</w:t>
      </w:r>
      <w:r w:rsidRPr="00373DC2">
        <w:t>fähigen Kosten aus der Differenz zwischen den Kosten der durch die Beihilfe geförderten Investition und den Kosten der weniger umweltfreundlichen Investition</w:t>
      </w:r>
      <w:r w:rsidR="009313E5" w:rsidRPr="00373DC2">
        <w:t>.</w:t>
      </w:r>
    </w:p>
    <w:p w14:paraId="313DA021" w14:textId="622DB114" w:rsidR="00480291" w:rsidRPr="00373DC2" w:rsidRDefault="00480291" w:rsidP="00FF125D">
      <w:pPr>
        <w:pStyle w:val="Listenabsatz"/>
        <w:numPr>
          <w:ilvl w:val="0"/>
          <w:numId w:val="33"/>
        </w:numPr>
      </w:pPr>
      <w:r w:rsidRPr="00373DC2">
        <w:t xml:space="preserve">Besteht das kontrafaktische Szenario darin, dass dieselbe Investition zu einem späteren Zeitpunkt getätigt wird, so ergeben sich die </w:t>
      </w:r>
      <w:r w:rsidR="009D76D8" w:rsidRPr="00373DC2">
        <w:t>förder</w:t>
      </w:r>
      <w:r w:rsidRPr="00373DC2">
        <w:t xml:space="preserve">fähigen Kosten aus der Differenz </w:t>
      </w:r>
      <w:r w:rsidRPr="00373DC2">
        <w:lastRenderedPageBreak/>
        <w:t>zwischen den Kosten der durch die Beihilfe geförderten Investition und dem Kapitalwert der Kosten der späteren Investition, abgezinst auf den Zeitpunkt, zu dem die geförderte Investition getätigt würde</w:t>
      </w:r>
      <w:r w:rsidR="009313E5" w:rsidRPr="00373DC2">
        <w:t>.</w:t>
      </w:r>
    </w:p>
    <w:p w14:paraId="76A9F58F" w14:textId="136349AB" w:rsidR="00480291" w:rsidRPr="00373DC2" w:rsidRDefault="00480291" w:rsidP="00FF125D">
      <w:pPr>
        <w:pStyle w:val="Listenabsatz"/>
        <w:numPr>
          <w:ilvl w:val="0"/>
          <w:numId w:val="33"/>
        </w:numPr>
      </w:pPr>
      <w:r w:rsidRPr="00373DC2">
        <w:t xml:space="preserve">Besteht das kontrafaktische Szenario darin, dass bestehende Anlagen und Ausrüstung in Betrieb bleiben, so ergeben sich die </w:t>
      </w:r>
      <w:r w:rsidR="009D76D8" w:rsidRPr="00373DC2">
        <w:t>förder</w:t>
      </w:r>
      <w:r w:rsidRPr="00373DC2">
        <w:t>fähigen Kosten aus der Differenz zwischen den Kosten der durch die Beihilfe geförderten Investition und dem Kapitalwert der Investitionen in die Wartung, Reparatur und Modernisierung der bestehenden Anlagen und Ausrüstung, abgezinst auf den Zeitpunkt, zu dem die geförderte Investition getätigt würde</w:t>
      </w:r>
      <w:r w:rsidR="009313E5" w:rsidRPr="00373DC2">
        <w:t>.</w:t>
      </w:r>
    </w:p>
    <w:p w14:paraId="0588F4F6" w14:textId="2AE6E870" w:rsidR="00480291" w:rsidRPr="00373DC2" w:rsidRDefault="00480291" w:rsidP="00FF125D">
      <w:pPr>
        <w:pStyle w:val="Listenabsatz"/>
        <w:numPr>
          <w:ilvl w:val="0"/>
          <w:numId w:val="33"/>
        </w:numPr>
      </w:pPr>
      <w:r w:rsidRPr="00373DC2">
        <w:t xml:space="preserve">Bei Ausrüstungen, die Leasingvereinbarungen unterliegen, ergeben sich die </w:t>
      </w:r>
      <w:r w:rsidR="009D76D8" w:rsidRPr="00373DC2">
        <w:t>förder</w:t>
      </w:r>
      <w:r w:rsidRPr="00373DC2">
        <w:t>fähigen Kosten aus der Kapitalwert-Differenz zwischen dem Leasing der durch die Beihilfe geförderten Ausrüstung und dem Leasing der weniger umweltfreundlichen Ausrüstung, die ohne Beihilfe geleast würde; die Leasingkosten umfassen keine Kosten im Zusammenhang mit dem Betrieb der Ausrüstung oder der Anlage (Brennstoffkosten, Versicherung, Wartung, sonstige Verbrauchsgüter), unabhängig davon, ob sie Bestandteil des Leasingvertrags sind</w:t>
      </w:r>
      <w:r w:rsidR="009313E5" w:rsidRPr="00373DC2">
        <w:t>.</w:t>
      </w:r>
    </w:p>
    <w:p w14:paraId="536E3F6A" w14:textId="22CAC10B" w:rsidR="00480291" w:rsidRPr="00373DC2" w:rsidRDefault="00480291" w:rsidP="003B6E54">
      <w:pPr>
        <w:spacing w:line="240" w:lineRule="auto"/>
        <w:ind w:left="708"/>
        <w:rPr>
          <w:rFonts w:cstheme="minorHAnsi"/>
        </w:rPr>
      </w:pPr>
      <w:r w:rsidRPr="00373DC2">
        <w:rPr>
          <w:rFonts w:cstheme="minorHAnsi"/>
        </w:rPr>
        <w:t>In allen in Unterabsatz 1 Buchstaben a</w:t>
      </w:r>
      <w:r w:rsidR="00F452E1" w:rsidRPr="00373DC2">
        <w:rPr>
          <w:rFonts w:cstheme="minorHAnsi"/>
        </w:rPr>
        <w:t>-</w:t>
      </w:r>
      <w:r w:rsidRPr="00373DC2">
        <w:rPr>
          <w:rFonts w:cstheme="minorHAnsi"/>
        </w:rPr>
        <w:t>d aufgeführten Situationen besteht das kontrafaktische Szenario in einer Investition mit vergleichbarer Produktionskapazität und Lebensdauer, die den bereits geltenden Unionsnormen entspricht. Das kontrafaktische Szenario muss im Hinblick auf die rechtlichen Anforderungen, die Marktbedingungen und die durch das EU-EHS-System geschaffenen Anreize glaubwürdig sein.</w:t>
      </w:r>
    </w:p>
    <w:p w14:paraId="7664FB01" w14:textId="0B83FF51" w:rsidR="003A1CA2" w:rsidRPr="00373DC2" w:rsidRDefault="00480291" w:rsidP="00504AB3">
      <w:pPr>
        <w:spacing w:line="240" w:lineRule="auto"/>
        <w:ind w:left="709" w:hanging="425"/>
        <w:rPr>
          <w:rFonts w:cstheme="minorHAnsi"/>
        </w:rPr>
      </w:pPr>
      <w:r w:rsidRPr="00373DC2">
        <w:rPr>
          <w:rFonts w:cstheme="minorHAnsi"/>
        </w:rPr>
        <w:t>(3)</w:t>
      </w:r>
      <w:r w:rsidR="000E6F67" w:rsidRPr="00373DC2">
        <w:rPr>
          <w:rFonts w:cstheme="minorHAnsi"/>
        </w:rPr>
        <w:t xml:space="preserve"> </w:t>
      </w:r>
      <w:r w:rsidR="00F452E1" w:rsidRPr="00373DC2">
        <w:rPr>
          <w:rFonts w:cstheme="minorHAnsi"/>
        </w:rPr>
        <w:t xml:space="preserve"> </w:t>
      </w:r>
      <w:r w:rsidR="000E6F67" w:rsidRPr="00373DC2">
        <w:rPr>
          <w:rFonts w:cstheme="minorHAnsi"/>
        </w:rPr>
        <w:t xml:space="preserve"> </w:t>
      </w:r>
      <w:r w:rsidR="003A1CA2" w:rsidRPr="00373DC2">
        <w:rPr>
          <w:rFonts w:cstheme="minorHAnsi"/>
        </w:rPr>
        <w:t xml:space="preserve">Abweichend von Absatz 2 können die förderfähigen Kosten ohne Ermittlung eines kontrafaktischen Szenarios festgelegt werden. In diesem Fall sind die </w:t>
      </w:r>
      <w:r w:rsidR="009D76D8" w:rsidRPr="00373DC2">
        <w:rPr>
          <w:rFonts w:cstheme="minorHAnsi"/>
        </w:rPr>
        <w:t>förder</w:t>
      </w:r>
      <w:r w:rsidR="003A1CA2" w:rsidRPr="00373DC2">
        <w:rPr>
          <w:rFonts w:cstheme="minorHAnsi"/>
        </w:rPr>
        <w:t xml:space="preserve">fähigen Kosten die Investitionskosten, die in direktem Zusammenhang mit CCU und CCS stehen; die </w:t>
      </w:r>
      <w:r w:rsidR="009D76D8" w:rsidRPr="00373DC2">
        <w:rPr>
          <w:rFonts w:cstheme="minorHAnsi"/>
        </w:rPr>
        <w:t>Förder</w:t>
      </w:r>
      <w:r w:rsidR="003A1CA2" w:rsidRPr="00373DC2">
        <w:rPr>
          <w:rFonts w:cstheme="minorHAnsi"/>
        </w:rPr>
        <w:t>intensität wird um 50 </w:t>
      </w:r>
      <w:r w:rsidR="00884DB9">
        <w:rPr>
          <w:rFonts w:cstheme="minorHAnsi"/>
        </w:rPr>
        <w:t>Prozent</w:t>
      </w:r>
      <w:r w:rsidR="00884DB9" w:rsidRPr="00373DC2">
        <w:rPr>
          <w:rFonts w:cstheme="minorHAnsi"/>
        </w:rPr>
        <w:t xml:space="preserve"> </w:t>
      </w:r>
      <w:r w:rsidR="003A1CA2" w:rsidRPr="00373DC2">
        <w:rPr>
          <w:rFonts w:cstheme="minorHAnsi"/>
        </w:rPr>
        <w:t>verringert.</w:t>
      </w:r>
    </w:p>
    <w:p w14:paraId="4783AA70" w14:textId="61E5623E" w:rsidR="00480291" w:rsidRPr="00373DC2" w:rsidRDefault="003A1CA2" w:rsidP="00504AB3">
      <w:pPr>
        <w:spacing w:line="240" w:lineRule="auto"/>
        <w:ind w:left="709" w:hanging="425"/>
        <w:rPr>
          <w:rFonts w:cstheme="minorHAnsi"/>
        </w:rPr>
      </w:pPr>
      <w:r w:rsidRPr="00373DC2">
        <w:rPr>
          <w:rFonts w:cstheme="minorHAnsi"/>
        </w:rPr>
        <w:t>(4)</w:t>
      </w:r>
      <w:r w:rsidRPr="00373DC2">
        <w:rPr>
          <w:rFonts w:cstheme="minorHAnsi"/>
        </w:rPr>
        <w:tab/>
      </w:r>
      <w:r w:rsidR="00480291" w:rsidRPr="00373DC2">
        <w:rPr>
          <w:rFonts w:cstheme="minorHAnsi"/>
        </w:rPr>
        <w:t>Handelt es sich bei der durch die Beihilfe geförderten Investition um die Installation einer Zusatzkomponente für eine bereits bestehende Anlage und gibt es keine weniger umweltfreundliche kontrafaktische Investition, so sind die gesamten Investitionskosten förderfähig.</w:t>
      </w:r>
    </w:p>
    <w:p w14:paraId="23B79E4D" w14:textId="0F90F0F5" w:rsidR="00F007BA" w:rsidRPr="009115CD" w:rsidRDefault="00373DC2" w:rsidP="009115CD">
      <w:pPr>
        <w:pStyle w:val="Listenabsatz"/>
        <w:numPr>
          <w:ilvl w:val="0"/>
          <w:numId w:val="9"/>
        </w:numPr>
        <w:spacing w:line="240" w:lineRule="auto"/>
        <w:rPr>
          <w:rFonts w:cstheme="minorHAnsi"/>
        </w:rPr>
      </w:pPr>
      <w:r>
        <w:rPr>
          <w:rFonts w:cstheme="minorHAnsi"/>
        </w:rPr>
        <w:t>(5)</w:t>
      </w:r>
      <w:r>
        <w:rPr>
          <w:rFonts w:cstheme="minorHAnsi"/>
        </w:rPr>
        <w:tab/>
      </w:r>
      <w:r w:rsidR="00480291" w:rsidRPr="00373DC2">
        <w:rPr>
          <w:rFonts w:cstheme="minorHAnsi"/>
        </w:rPr>
        <w:t>Besteht die durch die Beihilfe geförderte Investition im Bau einer gewidmeten Infrastruktur für CO</w:t>
      </w:r>
      <w:r w:rsidR="00480291" w:rsidRPr="00373DC2">
        <w:rPr>
          <w:rFonts w:cstheme="minorHAnsi"/>
          <w:vertAlign w:val="subscript"/>
        </w:rPr>
        <w:t>2</w:t>
      </w:r>
      <w:r w:rsidR="00480291" w:rsidRPr="00373DC2">
        <w:rPr>
          <w:rFonts w:cstheme="minorHAnsi"/>
        </w:rPr>
        <w:t xml:space="preserve">, die erforderlich ist, um den Umweltschutz gemäß den Absätzen 2 und 2a zu verbessern, so sind die gesamten Investitionskosten </w:t>
      </w:r>
      <w:r w:rsidR="009D76D8" w:rsidRPr="00373DC2">
        <w:rPr>
          <w:rFonts w:cstheme="minorHAnsi"/>
        </w:rPr>
        <w:t>förder</w:t>
      </w:r>
      <w:r w:rsidR="00480291" w:rsidRPr="00373DC2">
        <w:rPr>
          <w:rFonts w:cstheme="minorHAnsi"/>
        </w:rPr>
        <w:t>fähig. Kosten für den Bau oder die Modernisierung von Speicheranlagen sind nicht förderfähig.</w:t>
      </w:r>
      <w:r w:rsidR="00B16845">
        <w:rPr>
          <w:rFonts w:cstheme="minorHAnsi"/>
        </w:rPr>
        <w:t xml:space="preserve"> </w:t>
      </w:r>
      <w:r w:rsidR="00B16845" w:rsidRPr="00373DC2">
        <w:rPr>
          <w:rFonts w:cstheme="minorHAnsi"/>
        </w:rPr>
        <w:t>Die Förderung bei CCS-Vorhaben ist nur auf die für die Abscheidung, den Transport und die Speicherung von CO</w:t>
      </w:r>
      <w:r w:rsidR="00B16845" w:rsidRPr="00373DC2">
        <w:rPr>
          <w:rFonts w:cstheme="minorHAnsi"/>
          <w:vertAlign w:val="subscript"/>
        </w:rPr>
        <w:t>2</w:t>
      </w:r>
      <w:r w:rsidR="00B16845" w:rsidRPr="00373DC2">
        <w:rPr>
          <w:rFonts w:cstheme="minorHAnsi"/>
        </w:rPr>
        <w:t xml:space="preserve"> tatsächlich erforderlichen Kosten beschränkt. Die kontrafaktische Fallkonstellation besteht bei CCS-Vorhaben darin, dass das Vorhaben nicht durchgeführt wird, da die CO</w:t>
      </w:r>
      <w:r w:rsidR="00B16845" w:rsidRPr="00373DC2">
        <w:rPr>
          <w:rFonts w:cstheme="minorHAnsi"/>
          <w:vertAlign w:val="subscript"/>
        </w:rPr>
        <w:t>2</w:t>
      </w:r>
      <w:r w:rsidR="00B16845" w:rsidRPr="00373DC2">
        <w:rPr>
          <w:rFonts w:cstheme="minorHAnsi"/>
        </w:rPr>
        <w:t xml:space="preserve">-Abscheidung und -Speicherung einer zusätzlichen Infrastruktur gleichkäme, die nicht erforderlich ist, um eine Produktionsanlage zu betreiben. Bei den förderfähigen Kosten handelt es sich folglich um die </w:t>
      </w:r>
      <w:proofErr w:type="spellStart"/>
      <w:r w:rsidR="00B16845" w:rsidRPr="00373DC2">
        <w:rPr>
          <w:rFonts w:cstheme="minorHAnsi"/>
        </w:rPr>
        <w:t>Finanzierungslücke.</w:t>
      </w:r>
      <w:r w:rsidR="00480291" w:rsidRPr="009115CD">
        <w:rPr>
          <w:rFonts w:cstheme="minorHAnsi"/>
        </w:rPr>
        <w:t>Nicht</w:t>
      </w:r>
      <w:proofErr w:type="spellEnd"/>
      <w:r w:rsidR="00480291" w:rsidRPr="009115CD">
        <w:rPr>
          <w:rFonts w:cstheme="minorHAnsi"/>
        </w:rPr>
        <w:t xml:space="preserve"> direkt mit der Verbesserung des Umweltschutzes in Zusammenhang stehende Kosten sind nicht förderfähig.</w:t>
      </w:r>
    </w:p>
    <w:p w14:paraId="783D8CA0" w14:textId="7542D8C2" w:rsidR="00A97C7F" w:rsidRPr="00373DC2" w:rsidRDefault="00A97C7F" w:rsidP="00504AB3">
      <w:pPr>
        <w:pStyle w:val="Textkrper"/>
        <w:spacing w:after="160" w:line="240" w:lineRule="auto"/>
        <w:rPr>
          <w:rFonts w:cstheme="minorHAnsi"/>
          <w:b/>
        </w:rPr>
      </w:pPr>
      <w:r w:rsidRPr="00373DC2">
        <w:rPr>
          <w:rFonts w:cstheme="minorHAnsi"/>
          <w:b/>
        </w:rPr>
        <w:t>6.</w:t>
      </w:r>
      <w:r w:rsidR="006813A5" w:rsidRPr="00373DC2">
        <w:rPr>
          <w:rFonts w:cstheme="minorHAnsi"/>
          <w:b/>
          <w:bCs/>
        </w:rPr>
        <w:t>5</w:t>
      </w:r>
      <w:r w:rsidRPr="00373DC2">
        <w:rPr>
          <w:rFonts w:cstheme="minorHAnsi"/>
          <w:b/>
        </w:rPr>
        <w:t>.2 Teilmodul 2 Innovationsvorhaben (</w:t>
      </w:r>
      <w:r w:rsidR="0040708F" w:rsidRPr="00373DC2">
        <w:rPr>
          <w:rFonts w:cstheme="minorHAnsi"/>
          <w:b/>
        </w:rPr>
        <w:t>anwendungsorientierte</w:t>
      </w:r>
      <w:r w:rsidR="00EA6B86" w:rsidRPr="00373DC2">
        <w:rPr>
          <w:rFonts w:cstheme="minorHAnsi"/>
          <w:b/>
        </w:rPr>
        <w:t xml:space="preserve"> </w:t>
      </w:r>
      <w:r w:rsidRPr="00373DC2">
        <w:rPr>
          <w:rFonts w:cstheme="minorHAnsi"/>
          <w:b/>
        </w:rPr>
        <w:t>Forschung und Entwicklung)</w:t>
      </w:r>
    </w:p>
    <w:p w14:paraId="3B74E38A" w14:textId="61A8D88C" w:rsidR="001A035A" w:rsidRPr="00373DC2" w:rsidRDefault="001A035A" w:rsidP="00504AB3">
      <w:pPr>
        <w:pStyle w:val="Textkrper"/>
        <w:spacing w:after="160" w:line="240" w:lineRule="auto"/>
        <w:ind w:left="709" w:hanging="425"/>
        <w:rPr>
          <w:rFonts w:cstheme="minorHAnsi"/>
        </w:rPr>
      </w:pPr>
      <w:r w:rsidRPr="00373DC2">
        <w:rPr>
          <w:rFonts w:cstheme="minorHAnsi"/>
        </w:rPr>
        <w:t xml:space="preserve">(1) </w:t>
      </w:r>
      <w:r w:rsidR="0040708F" w:rsidRPr="00373DC2">
        <w:rPr>
          <w:rFonts w:cstheme="minorHAnsi"/>
        </w:rPr>
        <w:t xml:space="preserve">  Anwendungsorientierte</w:t>
      </w:r>
      <w:r w:rsidR="00EA6B86" w:rsidRPr="00373DC2">
        <w:rPr>
          <w:rFonts w:cstheme="minorHAnsi"/>
        </w:rPr>
        <w:t xml:space="preserve"> </w:t>
      </w:r>
      <w:r w:rsidRPr="00373DC2">
        <w:rPr>
          <w:rFonts w:cstheme="minorHAnsi"/>
        </w:rPr>
        <w:t>Forschungs- und Entwicklungsvorhaben können wie folgt gefördert werden:</w:t>
      </w:r>
    </w:p>
    <w:p w14:paraId="0E4A0A84" w14:textId="1D4E2079" w:rsidR="001A035A" w:rsidRPr="00373DC2" w:rsidRDefault="001A035A" w:rsidP="00504AB3">
      <w:pPr>
        <w:pStyle w:val="Textkrper"/>
        <w:spacing w:line="240" w:lineRule="auto"/>
        <w:ind w:left="1134" w:hanging="425"/>
        <w:rPr>
          <w:rFonts w:cstheme="minorHAnsi"/>
        </w:rPr>
      </w:pPr>
      <w:r w:rsidRPr="00373DC2">
        <w:rPr>
          <w:rFonts w:cstheme="minorHAnsi"/>
        </w:rPr>
        <w:t>a</w:t>
      </w:r>
      <w:r w:rsidR="00373DC2">
        <w:rPr>
          <w:rFonts w:cstheme="minorHAnsi"/>
        </w:rPr>
        <w:t>)</w:t>
      </w:r>
      <w:r w:rsidRPr="00373DC2">
        <w:rPr>
          <w:rFonts w:cstheme="minorHAnsi"/>
        </w:rPr>
        <w:t xml:space="preserve"> </w:t>
      </w:r>
      <w:r w:rsidR="0040708F" w:rsidRPr="00373DC2">
        <w:rPr>
          <w:rFonts w:cstheme="minorHAnsi"/>
        </w:rPr>
        <w:t xml:space="preserve">  </w:t>
      </w:r>
      <w:r w:rsidRPr="00373DC2">
        <w:rPr>
          <w:rFonts w:cstheme="minorHAnsi"/>
        </w:rPr>
        <w:t xml:space="preserve"> Vorhaben der industriellen Forschung mit bis zu 35 Millionen Euro</w:t>
      </w:r>
      <w:r w:rsidR="0040708F" w:rsidRPr="00373DC2">
        <w:rPr>
          <w:rFonts w:cstheme="minorHAnsi"/>
        </w:rPr>
        <w:t>,</w:t>
      </w:r>
    </w:p>
    <w:p w14:paraId="49821436" w14:textId="7AD52BC5" w:rsidR="001A035A" w:rsidRPr="00373DC2" w:rsidRDefault="001A035A" w:rsidP="00504AB3">
      <w:pPr>
        <w:pStyle w:val="Textkrper"/>
        <w:spacing w:line="240" w:lineRule="auto"/>
        <w:ind w:left="1134" w:hanging="425"/>
        <w:rPr>
          <w:rFonts w:cstheme="minorHAnsi"/>
        </w:rPr>
      </w:pPr>
      <w:r w:rsidRPr="00373DC2">
        <w:rPr>
          <w:rFonts w:cstheme="minorHAnsi"/>
        </w:rPr>
        <w:t>b</w:t>
      </w:r>
      <w:r w:rsidR="00373DC2">
        <w:rPr>
          <w:rFonts w:cstheme="minorHAnsi"/>
        </w:rPr>
        <w:t>)</w:t>
      </w:r>
      <w:r w:rsidR="0040708F" w:rsidRPr="00373DC2">
        <w:rPr>
          <w:rFonts w:cstheme="minorHAnsi"/>
        </w:rPr>
        <w:t xml:space="preserve">   </w:t>
      </w:r>
      <w:r w:rsidRPr="00373DC2">
        <w:rPr>
          <w:rFonts w:cstheme="minorHAnsi"/>
        </w:rPr>
        <w:t xml:space="preserve"> Vorhaben der experimentellen Forschung mit bis zu 25 Millionen Euro</w:t>
      </w:r>
      <w:r w:rsidR="0040708F" w:rsidRPr="00373DC2">
        <w:rPr>
          <w:rFonts w:cstheme="minorHAnsi"/>
        </w:rPr>
        <w:t>,</w:t>
      </w:r>
    </w:p>
    <w:p w14:paraId="1E4E468B" w14:textId="2BDCA649" w:rsidR="001A035A" w:rsidRPr="00373DC2" w:rsidRDefault="001A035A" w:rsidP="00504AB3">
      <w:pPr>
        <w:pStyle w:val="Textkrper"/>
        <w:spacing w:after="160" w:line="240" w:lineRule="auto"/>
        <w:ind w:left="1134" w:hanging="425"/>
        <w:rPr>
          <w:rFonts w:cstheme="minorHAnsi"/>
        </w:rPr>
      </w:pPr>
      <w:r w:rsidRPr="00373DC2">
        <w:rPr>
          <w:rFonts w:cstheme="minorHAnsi"/>
        </w:rPr>
        <w:t>c</w:t>
      </w:r>
      <w:r w:rsidR="00373DC2">
        <w:rPr>
          <w:rFonts w:cstheme="minorHAnsi"/>
        </w:rPr>
        <w:t>)</w:t>
      </w:r>
      <w:r w:rsidRPr="00373DC2">
        <w:rPr>
          <w:rFonts w:cstheme="minorHAnsi"/>
        </w:rPr>
        <w:t xml:space="preserve"> </w:t>
      </w:r>
      <w:r w:rsidR="0040708F" w:rsidRPr="00373DC2">
        <w:rPr>
          <w:rFonts w:cstheme="minorHAnsi"/>
        </w:rPr>
        <w:t xml:space="preserve">   </w:t>
      </w:r>
      <w:r w:rsidRPr="00373DC2">
        <w:rPr>
          <w:rFonts w:cstheme="minorHAnsi"/>
        </w:rPr>
        <w:t xml:space="preserve"> Durchführbarkeitsstudien mit bis zu 8,25 Millionen Euro.</w:t>
      </w:r>
    </w:p>
    <w:p w14:paraId="3BF4FDB1" w14:textId="566E2A93" w:rsidR="001A035A" w:rsidRPr="00373DC2" w:rsidRDefault="00EA6B86" w:rsidP="00504AB3">
      <w:pPr>
        <w:pStyle w:val="Textkrper"/>
        <w:spacing w:after="160" w:line="240" w:lineRule="auto"/>
        <w:ind w:left="709" w:hanging="425"/>
        <w:rPr>
          <w:rFonts w:cstheme="minorHAnsi"/>
        </w:rPr>
      </w:pPr>
      <w:r w:rsidRPr="00373DC2">
        <w:rPr>
          <w:rFonts w:cstheme="minorHAnsi"/>
        </w:rPr>
        <w:lastRenderedPageBreak/>
        <w:t xml:space="preserve">(2) </w:t>
      </w:r>
      <w:r w:rsidR="0040708F" w:rsidRPr="00373DC2">
        <w:rPr>
          <w:rFonts w:cstheme="minorHAnsi"/>
        </w:rPr>
        <w:t xml:space="preserve"> </w:t>
      </w:r>
      <w:r w:rsidRPr="00373DC2">
        <w:rPr>
          <w:rFonts w:cstheme="minorHAnsi"/>
        </w:rPr>
        <w:t xml:space="preserve"> </w:t>
      </w:r>
      <w:r w:rsidR="001A035A" w:rsidRPr="00373DC2">
        <w:rPr>
          <w:rFonts w:cstheme="minorHAnsi"/>
        </w:rPr>
        <w:t>Bei gemischten Vorhaben wird das Vorhaben der Kategorie zugeordnet, deren Kosten mehr als die Hälfte der Gesamtvorhabenkosten ausmachen</w:t>
      </w:r>
      <w:r w:rsidR="0040708F" w:rsidRPr="00373DC2">
        <w:rPr>
          <w:rFonts w:cstheme="minorHAnsi"/>
        </w:rPr>
        <w:t>:</w:t>
      </w:r>
      <w:r w:rsidR="001A035A" w:rsidRPr="00373DC2">
        <w:rPr>
          <w:rFonts w:cstheme="minorHAnsi"/>
        </w:rPr>
        <w:t xml:space="preserve"> </w:t>
      </w:r>
    </w:p>
    <w:p w14:paraId="4CD325A2" w14:textId="794F2BD3" w:rsidR="0040708F" w:rsidRPr="00373DC2" w:rsidRDefault="00BA2FB9" w:rsidP="00504AB3">
      <w:pPr>
        <w:pStyle w:val="Textkrper"/>
        <w:spacing w:after="0" w:line="240" w:lineRule="auto"/>
        <w:ind w:left="1134" w:hanging="425"/>
        <w:rPr>
          <w:rFonts w:cstheme="minorHAnsi"/>
        </w:rPr>
      </w:pPr>
      <w:r w:rsidRPr="00373DC2">
        <w:rPr>
          <w:rFonts w:cstheme="minorHAnsi"/>
        </w:rPr>
        <w:t>a</w:t>
      </w:r>
      <w:r w:rsidR="00373DC2">
        <w:rPr>
          <w:rFonts w:cstheme="minorHAnsi"/>
        </w:rPr>
        <w:t>)</w:t>
      </w:r>
      <w:r w:rsidRPr="00373DC2">
        <w:rPr>
          <w:rFonts w:cstheme="minorHAnsi"/>
        </w:rPr>
        <w:t xml:space="preserve"> </w:t>
      </w:r>
      <w:r w:rsidR="0040708F" w:rsidRPr="00373DC2">
        <w:rPr>
          <w:rFonts w:cstheme="minorHAnsi"/>
        </w:rPr>
        <w:t xml:space="preserve"> </w:t>
      </w:r>
      <w:r w:rsidRPr="00373DC2">
        <w:rPr>
          <w:rFonts w:cstheme="minorHAnsi"/>
        </w:rPr>
        <w:t xml:space="preserve"> </w:t>
      </w:r>
      <w:r w:rsidR="001A035A" w:rsidRPr="00373DC2">
        <w:rPr>
          <w:rFonts w:cstheme="minorHAnsi"/>
        </w:rPr>
        <w:t xml:space="preserve">Für </w:t>
      </w:r>
      <w:r w:rsidR="00184BEF" w:rsidRPr="00373DC2">
        <w:rPr>
          <w:rFonts w:cstheme="minorHAnsi"/>
        </w:rPr>
        <w:t xml:space="preserve">angewandte </w:t>
      </w:r>
      <w:r w:rsidR="001A035A" w:rsidRPr="00373DC2">
        <w:rPr>
          <w:rFonts w:cstheme="minorHAnsi"/>
        </w:rPr>
        <w:t>Forschungs- und Entwicklungsvorhaben sind die in Art. 25 Abs. 3 AGVO</w:t>
      </w:r>
    </w:p>
    <w:p w14:paraId="1911BD18" w14:textId="486604ED" w:rsidR="001A035A" w:rsidRPr="00373DC2" w:rsidRDefault="0040708F" w:rsidP="00504AB3">
      <w:pPr>
        <w:pStyle w:val="Textkrper"/>
        <w:spacing w:after="160" w:line="240" w:lineRule="auto"/>
        <w:ind w:left="1134" w:hanging="425"/>
        <w:rPr>
          <w:rFonts w:cstheme="minorHAnsi"/>
        </w:rPr>
      </w:pPr>
      <w:r w:rsidRPr="00373DC2">
        <w:rPr>
          <w:rFonts w:cstheme="minorHAnsi"/>
        </w:rPr>
        <w:t xml:space="preserve">     </w:t>
      </w:r>
      <w:r w:rsidR="001A035A" w:rsidRPr="00373DC2">
        <w:rPr>
          <w:rFonts w:cstheme="minorHAnsi"/>
        </w:rPr>
        <w:t xml:space="preserve"> aufgeführten Kosten förderfähig, für Durchführbarkeitsstudien die Kosten der Studie. </w:t>
      </w:r>
    </w:p>
    <w:p w14:paraId="0C120B64" w14:textId="3817D00C" w:rsidR="003D5FA7" w:rsidRPr="00373DC2" w:rsidRDefault="002E467B" w:rsidP="00DE4A10">
      <w:pPr>
        <w:pStyle w:val="Textkrper"/>
        <w:spacing w:line="240" w:lineRule="auto"/>
        <w:ind w:left="709"/>
        <w:rPr>
          <w:rFonts w:cstheme="minorHAnsi"/>
        </w:rPr>
      </w:pPr>
      <w:r w:rsidRPr="00373DC2">
        <w:rPr>
          <w:rFonts w:cstheme="minorHAnsi"/>
        </w:rPr>
        <w:t>b</w:t>
      </w:r>
      <w:r w:rsidR="00373DC2">
        <w:rPr>
          <w:rFonts w:cstheme="minorHAnsi"/>
        </w:rPr>
        <w:t>)</w:t>
      </w:r>
      <w:r w:rsidRPr="00373DC2">
        <w:rPr>
          <w:rFonts w:cstheme="minorHAnsi"/>
        </w:rPr>
        <w:t xml:space="preserve">  </w:t>
      </w:r>
      <w:r w:rsidR="001A035A" w:rsidRPr="00373DC2">
        <w:rPr>
          <w:rFonts w:cstheme="minorHAnsi"/>
        </w:rPr>
        <w:t>Die Förderintensität beträgt</w:t>
      </w:r>
      <w:r w:rsidRPr="00373DC2">
        <w:rPr>
          <w:rFonts w:cstheme="minorHAnsi"/>
        </w:rPr>
        <w:t xml:space="preserve"> bis zu</w:t>
      </w:r>
      <w:r w:rsidR="001A035A" w:rsidRPr="00373DC2">
        <w:rPr>
          <w:rFonts w:cstheme="minorHAnsi"/>
        </w:rPr>
        <w:t xml:space="preserve"> 25 </w:t>
      </w:r>
      <w:r w:rsidR="00884DB9">
        <w:rPr>
          <w:rFonts w:cstheme="minorHAnsi"/>
        </w:rPr>
        <w:t>Prozent</w:t>
      </w:r>
      <w:r w:rsidR="00884DB9" w:rsidRPr="00373DC2">
        <w:rPr>
          <w:rFonts w:cstheme="minorHAnsi"/>
        </w:rPr>
        <w:t xml:space="preserve"> </w:t>
      </w:r>
      <w:r w:rsidR="001A035A" w:rsidRPr="00373DC2">
        <w:rPr>
          <w:rFonts w:cstheme="minorHAnsi"/>
        </w:rPr>
        <w:t>für experimentelle Entwicklung und</w:t>
      </w:r>
      <w:r w:rsidRPr="00373DC2">
        <w:rPr>
          <w:rFonts w:cstheme="minorHAnsi"/>
        </w:rPr>
        <w:t xml:space="preserve"> bis zu</w:t>
      </w:r>
      <w:r w:rsidR="001A035A" w:rsidRPr="00373DC2">
        <w:rPr>
          <w:rFonts w:cstheme="minorHAnsi"/>
        </w:rPr>
        <w:t xml:space="preserve"> 50 </w:t>
      </w:r>
      <w:r w:rsidR="00884DB9">
        <w:rPr>
          <w:rFonts w:cstheme="minorHAnsi"/>
        </w:rPr>
        <w:t>Prozent</w:t>
      </w:r>
      <w:r w:rsidR="00884DB9" w:rsidRPr="00373DC2">
        <w:rPr>
          <w:rFonts w:cstheme="minorHAnsi"/>
        </w:rPr>
        <w:t xml:space="preserve"> </w:t>
      </w:r>
      <w:r w:rsidR="001A035A" w:rsidRPr="00373DC2">
        <w:rPr>
          <w:rFonts w:cstheme="minorHAnsi"/>
        </w:rPr>
        <w:t xml:space="preserve">für industrielle Forschung sowie Durchführbarkeitsstudien. Sie erhöht sich für mittlere Unternehmen um 10, für kleine Unternehmen um 20 Prozentpunkte. Weitere Aufschläge bis zu einer maximalen Förderintensität von </w:t>
      </w:r>
      <w:r w:rsidRPr="00373DC2">
        <w:rPr>
          <w:rFonts w:cstheme="minorHAnsi"/>
        </w:rPr>
        <w:t xml:space="preserve">bis zu </w:t>
      </w:r>
      <w:r w:rsidR="001A035A" w:rsidRPr="00373DC2">
        <w:rPr>
          <w:rFonts w:cstheme="minorHAnsi"/>
        </w:rPr>
        <w:t xml:space="preserve">80 </w:t>
      </w:r>
      <w:r w:rsidR="00884DB9">
        <w:rPr>
          <w:rFonts w:cstheme="minorHAnsi"/>
        </w:rPr>
        <w:t>Prozent</w:t>
      </w:r>
      <w:r w:rsidR="00884DB9" w:rsidRPr="00373DC2">
        <w:rPr>
          <w:rFonts w:cstheme="minorHAnsi"/>
        </w:rPr>
        <w:t xml:space="preserve"> </w:t>
      </w:r>
      <w:r w:rsidR="001A035A" w:rsidRPr="00373DC2">
        <w:rPr>
          <w:rFonts w:cstheme="minorHAnsi"/>
        </w:rPr>
        <w:t xml:space="preserve">sind für industrielle Forschung und experimentelle Entwicklung unter den in </w:t>
      </w:r>
      <w:r w:rsidR="001A035A" w:rsidRPr="00553516">
        <w:rPr>
          <w:rFonts w:cstheme="minorHAnsi"/>
        </w:rPr>
        <w:t>Art. 25 Abs. 6 lit. b</w:t>
      </w:r>
      <w:r w:rsidR="001A035A" w:rsidRPr="00553516" w:rsidDel="00884DB9">
        <w:rPr>
          <w:rFonts w:cstheme="minorHAnsi"/>
        </w:rPr>
        <w:t xml:space="preserve"> </w:t>
      </w:r>
      <w:r w:rsidR="001A035A" w:rsidRPr="00553516">
        <w:rPr>
          <w:rFonts w:cstheme="minorHAnsi"/>
        </w:rPr>
        <w:t>AGVO</w:t>
      </w:r>
      <w:r w:rsidR="001A035A" w:rsidRPr="00373DC2">
        <w:rPr>
          <w:rFonts w:cstheme="minorHAnsi"/>
        </w:rPr>
        <w:t xml:space="preserve"> genannten Voraussetzungen möglich. </w:t>
      </w:r>
      <w:r w:rsidR="003D5FA7">
        <w:rPr>
          <w:rFonts w:cstheme="minorHAnsi"/>
        </w:rPr>
        <w:t xml:space="preserve">Die Art. 25 Abs. 6 </w:t>
      </w:r>
      <w:proofErr w:type="spellStart"/>
      <w:r w:rsidR="003D5FA7">
        <w:rPr>
          <w:rFonts w:cstheme="minorHAnsi"/>
        </w:rPr>
        <w:t>lit</w:t>
      </w:r>
      <w:proofErr w:type="spellEnd"/>
      <w:r w:rsidR="003D5FA7">
        <w:rPr>
          <w:rFonts w:cstheme="minorHAnsi"/>
        </w:rPr>
        <w:t>. b bis d AGVO dürfen dabei nicht kombiniert werden.</w:t>
      </w:r>
    </w:p>
    <w:p w14:paraId="2AFE2F37" w14:textId="77777777" w:rsidR="00A97C7F" w:rsidRPr="00373DC2" w:rsidRDefault="00A97C7F" w:rsidP="00504AB3">
      <w:pPr>
        <w:pStyle w:val="Textkrper"/>
        <w:spacing w:line="240" w:lineRule="auto"/>
        <w:ind w:left="993" w:hanging="284"/>
        <w:rPr>
          <w:rFonts w:cstheme="minorHAnsi"/>
        </w:rPr>
      </w:pPr>
    </w:p>
    <w:p w14:paraId="3EF8B445" w14:textId="206696F7" w:rsidR="00C9572E" w:rsidRPr="00373DC2" w:rsidRDefault="00C9572E" w:rsidP="00504AB3">
      <w:pPr>
        <w:spacing w:line="240" w:lineRule="auto"/>
        <w:rPr>
          <w:rFonts w:cstheme="minorHAnsi"/>
          <w:b/>
        </w:rPr>
      </w:pPr>
      <w:r w:rsidRPr="00373DC2">
        <w:rPr>
          <w:rFonts w:cstheme="minorHAnsi"/>
          <w:b/>
        </w:rPr>
        <w:t>6.</w:t>
      </w:r>
      <w:r w:rsidR="00996E73" w:rsidRPr="00373DC2">
        <w:rPr>
          <w:rFonts w:cstheme="minorHAnsi"/>
          <w:b/>
          <w:bCs/>
        </w:rPr>
        <w:t>6</w:t>
      </w:r>
      <w:r w:rsidRPr="00373DC2">
        <w:rPr>
          <w:rFonts w:cstheme="minorHAnsi"/>
          <w:b/>
        </w:rPr>
        <w:t xml:space="preserve"> Verfahren</w:t>
      </w:r>
    </w:p>
    <w:p w14:paraId="3A31BF91" w14:textId="183AAD52" w:rsidR="006547C3" w:rsidRPr="00373DC2" w:rsidRDefault="00535E2A" w:rsidP="00504AB3">
      <w:pPr>
        <w:spacing w:line="240" w:lineRule="auto"/>
        <w:rPr>
          <w:rFonts w:cstheme="minorHAnsi"/>
          <w:b/>
        </w:rPr>
      </w:pPr>
      <w:r w:rsidRPr="00373DC2">
        <w:rPr>
          <w:rFonts w:cstheme="minorHAnsi"/>
          <w:b/>
        </w:rPr>
        <w:t>6.</w:t>
      </w:r>
      <w:r w:rsidR="00996E73" w:rsidRPr="00373DC2">
        <w:rPr>
          <w:rFonts w:cstheme="minorHAnsi"/>
          <w:b/>
        </w:rPr>
        <w:t>6</w:t>
      </w:r>
      <w:r w:rsidRPr="00373DC2">
        <w:rPr>
          <w:rFonts w:cstheme="minorHAnsi"/>
          <w:b/>
        </w:rPr>
        <w:t xml:space="preserve">.1 </w:t>
      </w:r>
      <w:bookmarkStart w:id="43" w:name="_Hlk146034906"/>
      <w:r w:rsidR="006547C3" w:rsidRPr="00373DC2">
        <w:rPr>
          <w:rFonts w:cstheme="minorHAnsi"/>
          <w:b/>
          <w:bCs/>
        </w:rPr>
        <w:t>Einschaltung eines Projektträgers, Antragsunterlagen, sonstige Unterlagen und Nutzung des elektronischen Antragssystems</w:t>
      </w:r>
      <w:bookmarkEnd w:id="43"/>
    </w:p>
    <w:p w14:paraId="3FE31F32" w14:textId="20DCE67A" w:rsidR="00535E2A" w:rsidRPr="00373DC2" w:rsidRDefault="00535E2A" w:rsidP="00FF125D">
      <w:pPr>
        <w:pStyle w:val="Listenabsatz"/>
        <w:numPr>
          <w:ilvl w:val="0"/>
          <w:numId w:val="34"/>
        </w:numPr>
        <w:spacing w:line="240" w:lineRule="auto"/>
        <w:ind w:hanging="436"/>
        <w:rPr>
          <w:rFonts w:cstheme="minorHAnsi"/>
        </w:rPr>
      </w:pPr>
      <w:r w:rsidRPr="00373DC2">
        <w:rPr>
          <w:rFonts w:cstheme="minorHAnsi"/>
        </w:rPr>
        <w:t xml:space="preserve">Projektträger zur Betreuung des Moduls 2 ist:  </w:t>
      </w:r>
    </w:p>
    <w:p w14:paraId="3D60BAD7" w14:textId="2F7813F4" w:rsidR="003E7EC2" w:rsidRPr="00373DC2" w:rsidRDefault="004B0C33" w:rsidP="00E120CF">
      <w:pPr>
        <w:pStyle w:val="Textkrper"/>
        <w:spacing w:line="240" w:lineRule="auto"/>
        <w:ind w:left="709" w:hanging="1"/>
        <w:rPr>
          <w:rFonts w:cstheme="minorHAnsi"/>
        </w:rPr>
      </w:pPr>
      <w:r w:rsidRPr="00373DC2">
        <w:rPr>
          <w:rFonts w:cstheme="minorHAnsi"/>
        </w:rPr>
        <w:t>Forschungszentrum Jülich GmbH</w:t>
      </w:r>
      <w:r w:rsidRPr="00373DC2">
        <w:rPr>
          <w:rFonts w:cstheme="minorHAnsi"/>
        </w:rPr>
        <w:br/>
        <w:t>Projektträger Jülich – PtJ</w:t>
      </w:r>
      <w:r w:rsidRPr="00373DC2">
        <w:rPr>
          <w:rFonts w:cstheme="minorHAnsi"/>
        </w:rPr>
        <w:br/>
        <w:t xml:space="preserve">Geschäftsbereich Erneuerbare Energien / Kraftwerkstechnik </w:t>
      </w:r>
      <w:r w:rsidRPr="00373DC2">
        <w:rPr>
          <w:rFonts w:cstheme="minorHAnsi"/>
        </w:rPr>
        <w:br/>
        <w:t>52425 Jülich</w:t>
      </w:r>
    </w:p>
    <w:p w14:paraId="240739BD" w14:textId="5F231006" w:rsidR="006547C3" w:rsidRPr="00373DC2" w:rsidRDefault="006547C3" w:rsidP="00AA3131">
      <w:pPr>
        <w:pStyle w:val="Textkrper"/>
        <w:numPr>
          <w:ilvl w:val="0"/>
          <w:numId w:val="21"/>
        </w:numPr>
        <w:spacing w:line="240" w:lineRule="auto"/>
        <w:ind w:hanging="436"/>
        <w:rPr>
          <w:rFonts w:cstheme="minorHAnsi"/>
        </w:rPr>
      </w:pPr>
      <w:r w:rsidRPr="00373DC2">
        <w:rPr>
          <w:rFonts w:cstheme="minorHAnsi"/>
        </w:rPr>
        <w:t>Soweit sich hierzu Änderungen ergeben, wird dies im Bundesanzeiger oder in anderer geeigneter Weise bekannt gegeben.</w:t>
      </w:r>
    </w:p>
    <w:p w14:paraId="443EC8C6" w14:textId="77777777" w:rsidR="006547C3" w:rsidRPr="00373DC2" w:rsidRDefault="006547C3" w:rsidP="00AA3131">
      <w:pPr>
        <w:pStyle w:val="Textkrper"/>
        <w:numPr>
          <w:ilvl w:val="0"/>
          <w:numId w:val="21"/>
        </w:numPr>
        <w:spacing w:line="240" w:lineRule="auto"/>
        <w:ind w:hanging="436"/>
        <w:rPr>
          <w:rFonts w:cstheme="minorHAnsi"/>
        </w:rPr>
      </w:pPr>
      <w:r w:rsidRPr="00373DC2">
        <w:rPr>
          <w:rFonts w:cstheme="minorHAnsi"/>
        </w:rPr>
        <w:t>Vordrucke für Förderanträge, Richtlinien, Merkblätter, Hinweise und Nebenbestimmungen können unter der Internetadresse https://foerderportal.bund.de/easy/easy_index.php?auswahl=easy_formulare abgerufen oder unmittelbar beim oben angegebenen Projektträger angefordert werden.</w:t>
      </w:r>
    </w:p>
    <w:p w14:paraId="37A927DA" w14:textId="4A5D3B59" w:rsidR="006547C3" w:rsidRPr="00373DC2" w:rsidRDefault="006547C3" w:rsidP="00A63819">
      <w:pPr>
        <w:pStyle w:val="Textkrper"/>
        <w:numPr>
          <w:ilvl w:val="0"/>
          <w:numId w:val="21"/>
        </w:numPr>
        <w:spacing w:after="160" w:line="240" w:lineRule="auto"/>
        <w:ind w:left="721" w:hanging="437"/>
        <w:rPr>
          <w:rFonts w:cstheme="minorHAnsi"/>
        </w:rPr>
      </w:pPr>
      <w:r w:rsidRPr="00373DC2">
        <w:rPr>
          <w:rFonts w:cstheme="minorHAnsi"/>
        </w:rPr>
        <w:t>Zur Erstellung von Projektskizzen und förmlichen Förderanträgen ist das elektronische Antragssystem "easy-Online" zu nutzen (https://foerderportal.bund.de/easyonline).</w:t>
      </w:r>
    </w:p>
    <w:p w14:paraId="07309FCD" w14:textId="2E6F7AA6" w:rsidR="00535E2A" w:rsidRPr="00373DC2" w:rsidRDefault="00535E2A" w:rsidP="00504AB3">
      <w:pPr>
        <w:spacing w:line="240" w:lineRule="auto"/>
        <w:rPr>
          <w:rFonts w:cstheme="minorHAnsi"/>
          <w:b/>
          <w:highlight w:val="yellow"/>
        </w:rPr>
      </w:pPr>
      <w:r w:rsidRPr="00373DC2">
        <w:rPr>
          <w:rFonts w:cstheme="minorHAnsi"/>
          <w:b/>
        </w:rPr>
        <w:t>6.</w:t>
      </w:r>
      <w:r w:rsidR="00996E73" w:rsidRPr="00373DC2">
        <w:rPr>
          <w:rFonts w:cstheme="minorHAnsi"/>
          <w:b/>
          <w:bCs/>
        </w:rPr>
        <w:t>6</w:t>
      </w:r>
      <w:r w:rsidRPr="00373DC2">
        <w:rPr>
          <w:rFonts w:cstheme="minorHAnsi"/>
          <w:b/>
        </w:rPr>
        <w:t xml:space="preserve">.2 </w:t>
      </w:r>
      <w:bookmarkStart w:id="44" w:name="_Hlk146035041"/>
      <w:r w:rsidRPr="00373DC2">
        <w:rPr>
          <w:rFonts w:cstheme="minorHAnsi"/>
          <w:b/>
        </w:rPr>
        <w:t xml:space="preserve">Antragsverfahren </w:t>
      </w:r>
      <w:bookmarkEnd w:id="44"/>
    </w:p>
    <w:p w14:paraId="3CCA74BC"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Das Antragsverfahren ist zweistufig angelegt, bestehend aus Projektskizze und anschließendem förmlichen Förderantrag. Aus der Vorlage von Projektskizzen und Förderanträgen kann kein Anspruch auf Förderung abgeleitet werden.</w:t>
      </w:r>
    </w:p>
    <w:p w14:paraId="3DED244B" w14:textId="77777777" w:rsidR="006547C3" w:rsidRPr="00373DC2" w:rsidRDefault="006547C3" w:rsidP="00AA3131">
      <w:pPr>
        <w:pStyle w:val="Listenabsatz"/>
        <w:numPr>
          <w:ilvl w:val="0"/>
          <w:numId w:val="19"/>
        </w:numPr>
        <w:spacing w:line="240" w:lineRule="auto"/>
        <w:ind w:left="709" w:hanging="425"/>
        <w:rPr>
          <w:rFonts w:cstheme="minorHAnsi"/>
        </w:rPr>
      </w:pPr>
      <w:r w:rsidRPr="00373DC2">
        <w:rPr>
          <w:rFonts w:cstheme="minorHAnsi"/>
        </w:rPr>
        <w:t>In der ersten Verfahrensstufe sind dem zuständigen Projektträger durch den vorgesehenen Verbundkoordinator aussagekräftige Projektskizzen über das elektronische Antragssystem "easy-Online" einzureichen (https://foerderportal.bund.de/easyonline).</w:t>
      </w:r>
    </w:p>
    <w:p w14:paraId="4D961C79"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In der Projektskizze, deren Umfang 15 Seiten nicht überschreiten soll, müssen die inhaltlichen und formalen Voraussetzungen für eine Förderung nachgewiesen werden. Dabei sind folgende Angaben erforderlich:</w:t>
      </w:r>
    </w:p>
    <w:p w14:paraId="12CF35E3" w14:textId="71E72535"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Thema und Ziel,</w:t>
      </w:r>
    </w:p>
    <w:p w14:paraId="3252F678" w14:textId="2C50CEDA"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Für Verbundprojekte: Angaben zum Koordinator und Ansprechperson der einzelnen Projektpartner,</w:t>
      </w:r>
    </w:p>
    <w:p w14:paraId="33C62B7E" w14:textId="1F606DA6"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Bezug zu den förderpolitischen Zielen, Notwendigkeit der Förderung,</w:t>
      </w:r>
    </w:p>
    <w:p w14:paraId="547F48B4" w14:textId="515B42F5"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Stand von Wissenschaft und Technik,</w:t>
      </w:r>
    </w:p>
    <w:p w14:paraId="3215099E" w14:textId="5EB85E27"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lastRenderedPageBreak/>
        <w:t>Thematische und technische Beschreibung der geplanten Anlage und der aktuellen Produktionsanlage,</w:t>
      </w:r>
    </w:p>
    <w:p w14:paraId="6C1EBF46" w14:textId="591CCD8A"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Beschreibung des aktuellen und des angestrebten Technologiereifegrades,</w:t>
      </w:r>
    </w:p>
    <w:p w14:paraId="729CC834" w14:textId="41061787"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Beschreibung des technologischen Pfads zur CO</w:t>
      </w:r>
      <w:r w:rsidRPr="00373DC2">
        <w:rPr>
          <w:rFonts w:cstheme="minorHAnsi"/>
          <w:vertAlign w:val="subscript"/>
        </w:rPr>
        <w:t>2</w:t>
      </w:r>
      <w:r w:rsidRPr="00373DC2">
        <w:rPr>
          <w:rFonts w:cstheme="minorHAnsi"/>
        </w:rPr>
        <w:t xml:space="preserve">-Einsparung, </w:t>
      </w:r>
    </w:p>
    <w:p w14:paraId="03B962C3" w14:textId="21C15B34"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Qualifikation und Expertise des Antragstellers und gegebenenfalls der Projektpartner,</w:t>
      </w:r>
    </w:p>
    <w:p w14:paraId="7A0E8DA8" w14:textId="11D4A678"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Arbeitsschwerpunkte, gegebenenfalls Arbeitsteilung und Aufgaben der Projektpartner,</w:t>
      </w:r>
    </w:p>
    <w:p w14:paraId="1B5D566D" w14:textId="55CD5200"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Wissenschaftliche und wirtschaftliche Verwertbarkeit, Verwertungsplan,</w:t>
      </w:r>
    </w:p>
    <w:p w14:paraId="66C958C1" w14:textId="27B649C0"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 xml:space="preserve">Eine quantitative Abschätzung der voraussichtlichen Treibhausgaseinsparungen im Vorhaben, </w:t>
      </w:r>
    </w:p>
    <w:p w14:paraId="555ED70D" w14:textId="6005E4D8" w:rsidR="006547C3" w:rsidRPr="00373DC2" w:rsidRDefault="006547C3" w:rsidP="00FF125D">
      <w:pPr>
        <w:pStyle w:val="Textkrper"/>
        <w:numPr>
          <w:ilvl w:val="1"/>
          <w:numId w:val="35"/>
        </w:numPr>
        <w:spacing w:line="240" w:lineRule="auto"/>
        <w:ind w:left="1276" w:hanging="567"/>
        <w:rPr>
          <w:rFonts w:cstheme="minorHAnsi"/>
        </w:rPr>
      </w:pPr>
      <w:r w:rsidRPr="00373DC2">
        <w:rPr>
          <w:rFonts w:cstheme="minorHAnsi"/>
        </w:rPr>
        <w:t>Geschätzter Gesamtaufwand und Förderbedarf, aufgeschlüsselt nach Personal- und Sachmitteln sowie nach den beiden Fördergegenständen 4.1 Investitionsvorhaben und 4.2 Forschungs-, Entwicklungs- und Innovationsvorhaben, bei Verbundprojekten jeweils für den einzelnen Projektpartner.</w:t>
      </w:r>
    </w:p>
    <w:p w14:paraId="326CFFFD"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Es steht den Antragstellern frei, weitere Punkte anzufügen, die ihrer Auffassung nach für eine Beurteilung ihres Vorschlags von Bedeutung sind.</w:t>
      </w:r>
    </w:p>
    <w:p w14:paraId="1AA566D4"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Im Rahmen der Prüfung der Skizze wird festgestellt, ob ein Projekt grundsätzlich dazu geeignet erscheint, im Sinne der Förderziele prozessbedingte Treibhausgasemissionen, zukünftig möglichst weitgehend und dauerhaft zu reduzieren.</w:t>
      </w:r>
    </w:p>
    <w:p w14:paraId="5666854B"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 xml:space="preserve">In der zweiten Verfahrensstufe werden die Verfasser der positiv bewerteten Projektskizzen aufgefordert, förmliche Förderanträge vorzulegen. </w:t>
      </w:r>
    </w:p>
    <w:p w14:paraId="36146384" w14:textId="77777777" w:rsidR="006547C3" w:rsidRPr="00373DC2" w:rsidRDefault="006547C3" w:rsidP="00AA3131">
      <w:pPr>
        <w:pStyle w:val="Textkrper"/>
        <w:numPr>
          <w:ilvl w:val="0"/>
          <w:numId w:val="19"/>
        </w:numPr>
        <w:spacing w:line="240" w:lineRule="auto"/>
        <w:ind w:left="709" w:hanging="425"/>
        <w:rPr>
          <w:rFonts w:cstheme="minorHAnsi"/>
        </w:rPr>
      </w:pPr>
      <w:r w:rsidRPr="00373DC2">
        <w:rPr>
          <w:rFonts w:cstheme="minorHAnsi"/>
        </w:rPr>
        <w:t xml:space="preserve">Zusätzlich zu den bereits für die Skizze erforderlichen Angaben müssen die Antragsteller einen Finanzierungsplan einreichen, in dem alle Zuwendungen für das Projekt anzugeben sind. Weitere Informationen zum Antragsverfahren kann den entsprechenden Merkblättern und Hinweisen entnommen werden. </w:t>
      </w:r>
    </w:p>
    <w:p w14:paraId="2E38F901" w14:textId="58E1DCBE" w:rsidR="000C6769" w:rsidRPr="00373DC2" w:rsidRDefault="00926693" w:rsidP="00A63819">
      <w:pPr>
        <w:pStyle w:val="Textkrper"/>
        <w:spacing w:line="240" w:lineRule="auto"/>
        <w:ind w:left="709" w:hanging="425"/>
        <w:rPr>
          <w:rFonts w:cstheme="minorHAnsi"/>
          <w:highlight w:val="yellow"/>
        </w:rPr>
      </w:pPr>
      <w:r w:rsidRPr="00373DC2">
        <w:rPr>
          <w:rFonts w:cstheme="minorHAnsi"/>
        </w:rPr>
        <w:t xml:space="preserve">(8)    </w:t>
      </w:r>
      <w:r w:rsidR="006547C3" w:rsidRPr="00373DC2">
        <w:rPr>
          <w:rFonts w:cstheme="minorHAnsi"/>
        </w:rPr>
        <w:t>Der Antrag ist beim zuständigen Projektträger – bei Verbundvorhaben in Abstimmung mit dem vorgesehenen Verbundkoordinator – unter Verwendung des für die jeweilige Finanzierungsart vorgesehenen Antragsformulars sowohl elektronisch als auch schriftlich einzureichen. Die elektronische Version ist unter Nutzung des Antragsassistenten „easy-Online“ einzureichen (https://foerderportal.bund.de/easyonline). Die Förderanträge werden vertieft und unter Berücksichtigung des Bundesinteresses nach den auch für die Skizzen geltenden Kriterien unter anderem unter Einschluss der Bonität der Antragsteller geprüft.</w:t>
      </w:r>
    </w:p>
    <w:p w14:paraId="3AC82C79" w14:textId="2BE3D94C" w:rsidR="00535E2A" w:rsidRPr="00373DC2" w:rsidRDefault="0020069D" w:rsidP="00A63819">
      <w:pPr>
        <w:spacing w:line="240" w:lineRule="auto"/>
        <w:rPr>
          <w:rFonts w:cstheme="minorHAnsi"/>
        </w:rPr>
      </w:pPr>
      <w:r w:rsidRPr="00373DC2">
        <w:rPr>
          <w:rFonts w:cstheme="minorHAnsi"/>
          <w:b/>
        </w:rPr>
        <w:t>6</w:t>
      </w:r>
      <w:r w:rsidR="00535E2A" w:rsidRPr="00373DC2">
        <w:rPr>
          <w:rFonts w:cstheme="minorHAnsi"/>
          <w:b/>
        </w:rPr>
        <w:t>.</w:t>
      </w:r>
      <w:r w:rsidR="00996E73" w:rsidRPr="00373DC2">
        <w:rPr>
          <w:rFonts w:cstheme="minorHAnsi"/>
          <w:b/>
          <w:bCs/>
        </w:rPr>
        <w:t>6</w:t>
      </w:r>
      <w:r w:rsidR="00535E2A" w:rsidRPr="00373DC2">
        <w:rPr>
          <w:rFonts w:cstheme="minorHAnsi"/>
          <w:b/>
        </w:rPr>
        <w:t>.</w:t>
      </w:r>
      <w:r w:rsidRPr="00373DC2">
        <w:rPr>
          <w:rFonts w:cstheme="minorHAnsi"/>
          <w:b/>
        </w:rPr>
        <w:t>3</w:t>
      </w:r>
      <w:r w:rsidR="00535E2A" w:rsidRPr="00373DC2">
        <w:rPr>
          <w:rFonts w:cstheme="minorHAnsi"/>
          <w:b/>
        </w:rPr>
        <w:t xml:space="preserve"> </w:t>
      </w:r>
      <w:bookmarkStart w:id="45" w:name="_Hlk146035046"/>
      <w:r w:rsidR="00535E2A" w:rsidRPr="00373DC2">
        <w:rPr>
          <w:rFonts w:cstheme="minorHAnsi"/>
          <w:b/>
        </w:rPr>
        <w:t>Auswahl</w:t>
      </w:r>
      <w:r w:rsidR="006547C3" w:rsidRPr="00373DC2">
        <w:rPr>
          <w:rFonts w:cstheme="minorHAnsi"/>
          <w:b/>
        </w:rPr>
        <w:t>kriterien und -</w:t>
      </w:r>
      <w:r w:rsidR="00535E2A" w:rsidRPr="00373DC2">
        <w:rPr>
          <w:rFonts w:cstheme="minorHAnsi"/>
          <w:b/>
        </w:rPr>
        <w:t>verfahren</w:t>
      </w:r>
      <w:bookmarkEnd w:id="45"/>
    </w:p>
    <w:p w14:paraId="26E45A7E" w14:textId="7E9C181E" w:rsidR="00926693" w:rsidRPr="00794849" w:rsidRDefault="002512C4" w:rsidP="00553516">
      <w:pPr>
        <w:pStyle w:val="Listenabsatz"/>
        <w:numPr>
          <w:ilvl w:val="0"/>
          <w:numId w:val="61"/>
        </w:numPr>
        <w:spacing w:line="240" w:lineRule="auto"/>
        <w:contextualSpacing w:val="0"/>
        <w:rPr>
          <w:rFonts w:cstheme="minorHAnsi"/>
        </w:rPr>
      </w:pPr>
      <w:bookmarkStart w:id="46" w:name="_Hlk140154006"/>
      <w:r w:rsidRPr="00810ED2">
        <w:rPr>
          <w:rFonts w:cstheme="minorHAnsi"/>
        </w:rPr>
        <w:t>Die Förderung kann im Rahmen von thematischen Aufrufen (Calls) auf Grundlage diese</w:t>
      </w:r>
      <w:r w:rsidR="006C3EBD">
        <w:rPr>
          <w:rFonts w:cstheme="minorHAnsi"/>
        </w:rPr>
        <w:t>r</w:t>
      </w:r>
      <w:r w:rsidRPr="00810ED2">
        <w:rPr>
          <w:rFonts w:cstheme="minorHAnsi"/>
        </w:rPr>
        <w:t xml:space="preserve"> Richtlinie beantragt werden. Die Details </w:t>
      </w:r>
      <w:r w:rsidR="004D7AD4" w:rsidRPr="00810ED2">
        <w:rPr>
          <w:rFonts w:cstheme="minorHAnsi"/>
        </w:rPr>
        <w:t>(</w:t>
      </w:r>
      <w:r w:rsidR="006547C3" w:rsidRPr="00810ED2">
        <w:rPr>
          <w:rFonts w:cstheme="minorHAnsi"/>
        </w:rPr>
        <w:t>Gewichtung der</w:t>
      </w:r>
      <w:r w:rsidR="004D7AD4" w:rsidRPr="00810ED2">
        <w:rPr>
          <w:rFonts w:cstheme="minorHAnsi"/>
        </w:rPr>
        <w:t xml:space="preserve"> Auswahlkriterien</w:t>
      </w:r>
      <w:r w:rsidR="006547C3" w:rsidRPr="00810ED2">
        <w:rPr>
          <w:rFonts w:cstheme="minorHAnsi"/>
        </w:rPr>
        <w:t>, Fristen</w:t>
      </w:r>
      <w:r w:rsidR="004D7AD4" w:rsidRPr="00810ED2">
        <w:rPr>
          <w:rFonts w:cstheme="minorHAnsi"/>
        </w:rPr>
        <w:t xml:space="preserve">) </w:t>
      </w:r>
      <w:r w:rsidRPr="00794849">
        <w:rPr>
          <w:rFonts w:cstheme="minorHAnsi"/>
        </w:rPr>
        <w:t xml:space="preserve">dazu werden vom </w:t>
      </w:r>
      <w:r w:rsidR="00926693" w:rsidRPr="00794849">
        <w:rPr>
          <w:rFonts w:cstheme="minorHAnsi"/>
        </w:rPr>
        <w:t>BMWK</w:t>
      </w:r>
      <w:r w:rsidRPr="00794849">
        <w:rPr>
          <w:rFonts w:cstheme="minorHAnsi"/>
        </w:rPr>
        <w:t xml:space="preserve"> gesondert bekannt gegeben</w:t>
      </w:r>
      <w:r w:rsidR="00926693" w:rsidRPr="00794849">
        <w:rPr>
          <w:rFonts w:cstheme="minorHAnsi"/>
        </w:rPr>
        <w:t xml:space="preserve">. </w:t>
      </w:r>
    </w:p>
    <w:p w14:paraId="10A23792" w14:textId="0FC9FC4C" w:rsidR="006547C3" w:rsidRPr="00794849" w:rsidRDefault="006547C3" w:rsidP="00553516">
      <w:pPr>
        <w:pStyle w:val="Listenabsatz"/>
        <w:numPr>
          <w:ilvl w:val="0"/>
          <w:numId w:val="61"/>
        </w:numPr>
        <w:spacing w:line="240" w:lineRule="auto"/>
        <w:contextualSpacing w:val="0"/>
        <w:rPr>
          <w:rFonts w:cstheme="minorHAnsi"/>
        </w:rPr>
      </w:pPr>
      <w:r w:rsidRPr="001C5943">
        <w:rPr>
          <w:rFonts w:cstheme="minorHAnsi"/>
        </w:rPr>
        <w:t>Das BMWK entscheidet über die eingereichten Skizzen und Förderanträge nach abschließender Prüfung unter Ausübung des pflichtgemäßen Ermessens und unter Berücksichtigung der verfügbaren Haushaltsmittel. Das wichtigste Auswahlkriterium ist die bis 2035 erzielte CO</w:t>
      </w:r>
      <w:r w:rsidRPr="00553516">
        <w:rPr>
          <w:vertAlign w:val="subscript"/>
        </w:rPr>
        <w:t>2</w:t>
      </w:r>
      <w:r w:rsidRPr="00810ED2">
        <w:rPr>
          <w:rFonts w:cstheme="minorHAnsi"/>
        </w:rPr>
        <w:t xml:space="preserve"> Einsparung im Vergleich zur Förderung (Fördermitteleffizienz). Weitere Auswahlkriterien sind:</w:t>
      </w:r>
    </w:p>
    <w:p w14:paraId="552798FA" w14:textId="77777777" w:rsidR="00926693" w:rsidRPr="00884DB9" w:rsidRDefault="001C0008" w:rsidP="00E0080D">
      <w:pPr>
        <w:pStyle w:val="Listenabsatz"/>
        <w:numPr>
          <w:ilvl w:val="1"/>
          <w:numId w:val="36"/>
        </w:numPr>
        <w:spacing w:line="240" w:lineRule="auto"/>
        <w:ind w:left="1134" w:hanging="425"/>
        <w:contextualSpacing w:val="0"/>
        <w:rPr>
          <w:rFonts w:cstheme="minorHAnsi"/>
        </w:rPr>
      </w:pPr>
      <w:r w:rsidRPr="00884DB9">
        <w:rPr>
          <w:rFonts w:cstheme="minorHAnsi"/>
        </w:rPr>
        <w:t>Art der Deckung des Strombedarfs</w:t>
      </w:r>
      <w:r w:rsidR="002A7EDC" w:rsidRPr="00884DB9">
        <w:rPr>
          <w:rFonts w:cstheme="minorHAnsi"/>
        </w:rPr>
        <w:t>,</w:t>
      </w:r>
    </w:p>
    <w:p w14:paraId="7984556E" w14:textId="6D7D7F7E" w:rsidR="004D7AD4" w:rsidRPr="00884DB9" w:rsidRDefault="004D7AD4" w:rsidP="00E0080D">
      <w:pPr>
        <w:pStyle w:val="Listenabsatz"/>
        <w:numPr>
          <w:ilvl w:val="1"/>
          <w:numId w:val="36"/>
        </w:numPr>
        <w:spacing w:line="240" w:lineRule="auto"/>
        <w:ind w:left="1134" w:hanging="425"/>
        <w:contextualSpacing w:val="0"/>
        <w:rPr>
          <w:rFonts w:cstheme="minorHAnsi"/>
        </w:rPr>
      </w:pPr>
      <w:r w:rsidRPr="00884DB9">
        <w:rPr>
          <w:rFonts w:cstheme="minorHAnsi"/>
        </w:rPr>
        <w:t xml:space="preserve">Beitrag zur Schaffung von </w:t>
      </w:r>
      <w:r w:rsidR="006547C3" w:rsidRPr="00884DB9">
        <w:rPr>
          <w:rFonts w:cstheme="minorHAnsi"/>
        </w:rPr>
        <w:t>CCU/S-Clustern</w:t>
      </w:r>
      <w:r w:rsidR="00092274" w:rsidRPr="00884DB9">
        <w:rPr>
          <w:rFonts w:cstheme="minorHAnsi"/>
        </w:rPr>
        <w:t xml:space="preserve"> und gemeinsamer Nutzung von CO</w:t>
      </w:r>
      <w:r w:rsidR="00092274" w:rsidRPr="00884DB9">
        <w:rPr>
          <w:rFonts w:cstheme="minorHAnsi"/>
          <w:vertAlign w:val="subscript"/>
        </w:rPr>
        <w:t>2</w:t>
      </w:r>
      <w:r w:rsidR="00092274" w:rsidRPr="00884DB9">
        <w:rPr>
          <w:rFonts w:cstheme="minorHAnsi"/>
        </w:rPr>
        <w:t>-Infrastruktur</w:t>
      </w:r>
      <w:r w:rsidR="002A7EDC" w:rsidRPr="00884DB9">
        <w:rPr>
          <w:rFonts w:cstheme="minorHAnsi"/>
        </w:rPr>
        <w:t>,</w:t>
      </w:r>
    </w:p>
    <w:p w14:paraId="0EB30E77" w14:textId="43E6BDD4" w:rsidR="00DE6C62" w:rsidRPr="00884DB9" w:rsidRDefault="00DE6C62" w:rsidP="00E0080D">
      <w:pPr>
        <w:pStyle w:val="Listenabsatz"/>
        <w:numPr>
          <w:ilvl w:val="1"/>
          <w:numId w:val="36"/>
        </w:numPr>
        <w:spacing w:line="240" w:lineRule="auto"/>
        <w:ind w:left="1134" w:hanging="425"/>
        <w:contextualSpacing w:val="0"/>
        <w:rPr>
          <w:rFonts w:cstheme="minorHAnsi"/>
        </w:rPr>
      </w:pPr>
      <w:r w:rsidRPr="00884DB9">
        <w:rPr>
          <w:rFonts w:cstheme="minorHAnsi"/>
        </w:rPr>
        <w:lastRenderedPageBreak/>
        <w:t>Zusätzlicher Strom- und Wärmebedarf und damit verbundene CO</w:t>
      </w:r>
      <w:r w:rsidRPr="00884DB9">
        <w:rPr>
          <w:rFonts w:cstheme="minorHAnsi"/>
          <w:vertAlign w:val="subscript"/>
        </w:rPr>
        <w:t>2</w:t>
      </w:r>
      <w:r w:rsidRPr="00884DB9">
        <w:rPr>
          <w:rFonts w:cstheme="minorHAnsi"/>
        </w:rPr>
        <w:t>-Emissionen</w:t>
      </w:r>
      <w:r w:rsidR="00AD6115">
        <w:rPr>
          <w:rFonts w:cstheme="minorHAnsi"/>
        </w:rPr>
        <w:t>,</w:t>
      </w:r>
    </w:p>
    <w:p w14:paraId="585DCE18" w14:textId="77777777" w:rsidR="004D7AD4" w:rsidRPr="00884DB9" w:rsidRDefault="004D7AD4" w:rsidP="00E0080D">
      <w:pPr>
        <w:pStyle w:val="Listenabsatz"/>
        <w:numPr>
          <w:ilvl w:val="1"/>
          <w:numId w:val="36"/>
        </w:numPr>
        <w:spacing w:line="240" w:lineRule="auto"/>
        <w:ind w:left="1134" w:hanging="425"/>
        <w:contextualSpacing w:val="0"/>
        <w:rPr>
          <w:rFonts w:cstheme="minorHAnsi"/>
        </w:rPr>
      </w:pPr>
      <w:r w:rsidRPr="00884DB9">
        <w:rPr>
          <w:rFonts w:cstheme="minorHAnsi"/>
        </w:rPr>
        <w:t>Beitrag zur europäischen und internationalen Zusammenarbeit</w:t>
      </w:r>
      <w:r w:rsidR="002A7EDC" w:rsidRPr="00884DB9">
        <w:rPr>
          <w:rFonts w:cstheme="minorHAnsi"/>
        </w:rPr>
        <w:t>,</w:t>
      </w:r>
    </w:p>
    <w:p w14:paraId="25F500FB" w14:textId="77777777" w:rsidR="002A7EDC" w:rsidRPr="00884DB9" w:rsidRDefault="004D7AD4" w:rsidP="00E0080D">
      <w:pPr>
        <w:pStyle w:val="Listenabsatz"/>
        <w:numPr>
          <w:ilvl w:val="1"/>
          <w:numId w:val="36"/>
        </w:numPr>
        <w:spacing w:line="240" w:lineRule="auto"/>
        <w:ind w:left="1134" w:hanging="425"/>
        <w:contextualSpacing w:val="0"/>
        <w:rPr>
          <w:rFonts w:cstheme="minorHAnsi"/>
        </w:rPr>
      </w:pPr>
      <w:r w:rsidRPr="00884DB9">
        <w:rPr>
          <w:rFonts w:cstheme="minorHAnsi"/>
        </w:rPr>
        <w:t>Beitrag zum Nutzen von effizienten Kohlenstoffkreisläufen</w:t>
      </w:r>
      <w:r w:rsidR="002A7EDC" w:rsidRPr="00884DB9">
        <w:rPr>
          <w:rFonts w:cstheme="minorHAnsi"/>
        </w:rPr>
        <w:t>,</w:t>
      </w:r>
    </w:p>
    <w:p w14:paraId="3E815CC7" w14:textId="35BE4322" w:rsidR="002A7EDC" w:rsidRPr="00373DC2" w:rsidRDefault="002A7EDC" w:rsidP="00E0080D">
      <w:pPr>
        <w:pStyle w:val="Listenabsatz"/>
        <w:numPr>
          <w:ilvl w:val="1"/>
          <w:numId w:val="36"/>
        </w:numPr>
        <w:spacing w:line="240" w:lineRule="auto"/>
        <w:ind w:left="1134" w:hanging="425"/>
        <w:contextualSpacing w:val="0"/>
        <w:rPr>
          <w:rFonts w:cstheme="minorHAnsi"/>
        </w:rPr>
      </w:pPr>
      <w:r w:rsidRPr="00373DC2">
        <w:rPr>
          <w:rFonts w:cstheme="minorHAnsi"/>
        </w:rPr>
        <w:t>Dauerhaftigkeit der Speicherung,</w:t>
      </w:r>
    </w:p>
    <w:p w14:paraId="5F223E1A" w14:textId="060D3BA5" w:rsidR="006547C3" w:rsidRPr="00373DC2" w:rsidRDefault="006547C3" w:rsidP="00E0080D">
      <w:pPr>
        <w:pStyle w:val="Listenabsatz"/>
        <w:numPr>
          <w:ilvl w:val="1"/>
          <w:numId w:val="36"/>
        </w:numPr>
        <w:spacing w:line="240" w:lineRule="auto"/>
        <w:ind w:left="1134" w:hanging="425"/>
        <w:contextualSpacing w:val="0"/>
        <w:rPr>
          <w:rFonts w:cstheme="minorHAnsi"/>
        </w:rPr>
      </w:pPr>
      <w:r w:rsidRPr="00373DC2">
        <w:rPr>
          <w:rFonts w:cstheme="minorHAnsi"/>
        </w:rPr>
        <w:t>Beitrag zum Aufbau von Erfahrung bzgl. Auslegung, Bau und Betrieb von CO</w:t>
      </w:r>
      <w:r w:rsidRPr="00373DC2">
        <w:rPr>
          <w:rFonts w:cstheme="minorHAnsi"/>
          <w:vertAlign w:val="subscript"/>
        </w:rPr>
        <w:t>2</w:t>
      </w:r>
      <w:r w:rsidRPr="00373DC2">
        <w:rPr>
          <w:rFonts w:cstheme="minorHAnsi"/>
        </w:rPr>
        <w:t>-Abscheideanlagen an Anlagen der jeweiligen Branche des Antragstellers</w:t>
      </w:r>
      <w:r w:rsidR="00AD6115">
        <w:rPr>
          <w:rFonts w:cstheme="minorHAnsi"/>
        </w:rPr>
        <w:t>,</w:t>
      </w:r>
    </w:p>
    <w:p w14:paraId="07A44B49" w14:textId="44B5E350" w:rsidR="006547C3" w:rsidRPr="00373DC2" w:rsidRDefault="002A7EDC" w:rsidP="00E0080D">
      <w:pPr>
        <w:pStyle w:val="Listenabsatz"/>
        <w:numPr>
          <w:ilvl w:val="1"/>
          <w:numId w:val="36"/>
        </w:numPr>
        <w:spacing w:line="240" w:lineRule="auto"/>
        <w:ind w:left="1134" w:hanging="425"/>
        <w:contextualSpacing w:val="0"/>
        <w:rPr>
          <w:rFonts w:cstheme="minorHAnsi"/>
        </w:rPr>
      </w:pPr>
      <w:r w:rsidRPr="00373DC2">
        <w:rPr>
          <w:rFonts w:cstheme="minorHAnsi"/>
        </w:rPr>
        <w:t xml:space="preserve">Innovationsgrad der Anlage (nur für </w:t>
      </w:r>
      <w:r w:rsidR="00E26500" w:rsidRPr="00373DC2">
        <w:rPr>
          <w:rFonts w:cstheme="minorHAnsi"/>
        </w:rPr>
        <w:t>Teilmodul 1)</w:t>
      </w:r>
      <w:r w:rsidR="00AD6115">
        <w:rPr>
          <w:rFonts w:cstheme="minorHAnsi"/>
        </w:rPr>
        <w:t>,</w:t>
      </w:r>
    </w:p>
    <w:p w14:paraId="15944149" w14:textId="30249547" w:rsidR="004D7AD4" w:rsidRPr="00373DC2" w:rsidRDefault="006547C3" w:rsidP="00E0080D">
      <w:pPr>
        <w:pStyle w:val="Listenabsatz"/>
        <w:numPr>
          <w:ilvl w:val="1"/>
          <w:numId w:val="36"/>
        </w:numPr>
        <w:spacing w:line="240" w:lineRule="auto"/>
        <w:ind w:left="1134" w:hanging="425"/>
        <w:contextualSpacing w:val="0"/>
        <w:rPr>
          <w:rFonts w:cstheme="minorHAnsi"/>
        </w:rPr>
      </w:pPr>
      <w:r w:rsidRPr="00373DC2">
        <w:rPr>
          <w:rFonts w:cstheme="minorHAnsi"/>
        </w:rPr>
        <w:t>Schnelligkeit der Inbetriebnahme der Anlage (nur für Teilmodul 1)</w:t>
      </w:r>
      <w:r w:rsidR="00926693" w:rsidRPr="00373DC2">
        <w:rPr>
          <w:rFonts w:cstheme="minorHAnsi"/>
        </w:rPr>
        <w:t>.</w:t>
      </w:r>
    </w:p>
    <w:bookmarkEnd w:id="46"/>
    <w:p w14:paraId="3AF0A8EF" w14:textId="77777777" w:rsidR="00926693" w:rsidRPr="00373DC2" w:rsidRDefault="000C6769" w:rsidP="00553516">
      <w:pPr>
        <w:pStyle w:val="Listenabsatz"/>
        <w:numPr>
          <w:ilvl w:val="0"/>
          <w:numId w:val="61"/>
        </w:numPr>
        <w:spacing w:line="240" w:lineRule="auto"/>
        <w:rPr>
          <w:rFonts w:cstheme="minorHAnsi"/>
        </w:rPr>
      </w:pPr>
      <w:r w:rsidRPr="00373DC2">
        <w:rPr>
          <w:rFonts w:cstheme="minorHAnsi"/>
        </w:rPr>
        <w:t>Die Entscheidungen über die Förderanträge werden nach Qualität und Vollständigkeit der Antragsunterlagen sowie zuerkannten Förderprioritäten nach wettbewerblichen Gesichtspunkten getroffen</w:t>
      </w:r>
      <w:r w:rsidR="00926693" w:rsidRPr="00373DC2">
        <w:rPr>
          <w:rFonts w:cstheme="minorHAnsi"/>
        </w:rPr>
        <w:t xml:space="preserve">. </w:t>
      </w:r>
    </w:p>
    <w:p w14:paraId="1B1DC967" w14:textId="7EF5E8CB" w:rsidR="003C5ECE" w:rsidRPr="00373DC2" w:rsidRDefault="000C6769" w:rsidP="00553516">
      <w:pPr>
        <w:pStyle w:val="Listenabsatz"/>
        <w:numPr>
          <w:ilvl w:val="0"/>
          <w:numId w:val="61"/>
        </w:numPr>
        <w:spacing w:line="240" w:lineRule="auto"/>
        <w:rPr>
          <w:rFonts w:cstheme="minorHAnsi"/>
        </w:rPr>
      </w:pPr>
      <w:r w:rsidRPr="00373DC2">
        <w:rPr>
          <w:rFonts w:cstheme="minorHAnsi"/>
        </w:rPr>
        <w:t xml:space="preserve">Über die Förderung entscheidet das </w:t>
      </w:r>
      <w:r w:rsidR="00926693" w:rsidRPr="00373DC2">
        <w:rPr>
          <w:rFonts w:cstheme="minorHAnsi"/>
        </w:rPr>
        <w:t>BMWK</w:t>
      </w:r>
      <w:r w:rsidRPr="00373DC2">
        <w:rPr>
          <w:rFonts w:cstheme="minorHAnsi"/>
        </w:rPr>
        <w:t xml:space="preserve"> kontinuierlich auf Vorschlag de</w:t>
      </w:r>
      <w:r w:rsidR="00926693" w:rsidRPr="00373DC2">
        <w:rPr>
          <w:rFonts w:cstheme="minorHAnsi"/>
        </w:rPr>
        <w:t>s</w:t>
      </w:r>
      <w:r w:rsidRPr="00373DC2">
        <w:rPr>
          <w:rFonts w:cstheme="minorHAnsi"/>
        </w:rPr>
        <w:t xml:space="preserve"> Projektträger</w:t>
      </w:r>
      <w:r w:rsidR="00926693" w:rsidRPr="00373DC2">
        <w:rPr>
          <w:rFonts w:cstheme="minorHAnsi"/>
        </w:rPr>
        <w:t>s</w:t>
      </w:r>
      <w:r w:rsidRPr="00373DC2">
        <w:rPr>
          <w:rFonts w:cstheme="minorHAnsi"/>
        </w:rPr>
        <w:t>.</w:t>
      </w:r>
    </w:p>
    <w:p w14:paraId="1EBC4D06" w14:textId="3F4512B4" w:rsidR="003E7EC2" w:rsidRDefault="003E7EC2" w:rsidP="009115CD">
      <w:pPr>
        <w:spacing w:line="240" w:lineRule="auto"/>
        <w:rPr>
          <w:rFonts w:cstheme="minorHAnsi"/>
          <w:b/>
        </w:rPr>
      </w:pPr>
    </w:p>
    <w:p w14:paraId="57EB568F" w14:textId="386A6A7C" w:rsidR="004D1177" w:rsidRPr="00AC6551" w:rsidRDefault="00AE1CEC" w:rsidP="00AC6551">
      <w:pPr>
        <w:pStyle w:val="Listenabsatz"/>
        <w:numPr>
          <w:ilvl w:val="0"/>
          <w:numId w:val="13"/>
        </w:numPr>
        <w:spacing w:line="240" w:lineRule="auto"/>
        <w:rPr>
          <w:rFonts w:cstheme="minorHAnsi"/>
          <w:b/>
        </w:rPr>
      </w:pPr>
      <w:r>
        <w:rPr>
          <w:rFonts w:cstheme="minorHAnsi"/>
          <w:b/>
        </w:rPr>
        <w:t>Spezielle Förderaufrufe</w:t>
      </w:r>
      <w:r w:rsidR="00F33E57">
        <w:rPr>
          <w:rFonts w:cstheme="minorHAnsi"/>
          <w:b/>
        </w:rPr>
        <w:t xml:space="preserve"> </w:t>
      </w:r>
    </w:p>
    <w:p w14:paraId="20FC54EB" w14:textId="65F6D5A3" w:rsidR="00810ED2" w:rsidRPr="00810ED2" w:rsidRDefault="00AE1CEC" w:rsidP="00AC6551">
      <w:pPr>
        <w:pStyle w:val="Listenabsatz"/>
        <w:numPr>
          <w:ilvl w:val="0"/>
          <w:numId w:val="58"/>
        </w:numPr>
        <w:spacing w:line="240" w:lineRule="auto"/>
        <w:contextualSpacing w:val="0"/>
        <w:rPr>
          <w:rFonts w:cstheme="minorHAnsi"/>
        </w:rPr>
      </w:pPr>
      <w:r>
        <w:rPr>
          <w:rFonts w:cstheme="minorHAnsi"/>
        </w:rPr>
        <w:t xml:space="preserve">Im Rahmen verfügbarer Haushaltsmittel kann das BMWK unter den Förderbedingungen von Modul 1 und 2 zusätzliche Aufrufe bekannt geben (spezielle Förderaufrufe). </w:t>
      </w:r>
    </w:p>
    <w:p w14:paraId="2B161AE9" w14:textId="5270E619" w:rsidR="004D1177" w:rsidRDefault="00AE1CEC" w:rsidP="00AC6551">
      <w:pPr>
        <w:pStyle w:val="Listenabsatz"/>
        <w:numPr>
          <w:ilvl w:val="0"/>
          <w:numId w:val="58"/>
        </w:numPr>
        <w:spacing w:line="240" w:lineRule="auto"/>
        <w:ind w:hanging="436"/>
        <w:contextualSpacing w:val="0"/>
        <w:rPr>
          <w:rFonts w:cstheme="minorHAnsi"/>
        </w:rPr>
      </w:pPr>
      <w:r>
        <w:rPr>
          <w:rFonts w:cstheme="minorHAnsi"/>
        </w:rPr>
        <w:t>Das BMWK kann in speziellen Förderaufrufen auch zusätzliche Fördervoraussetzungen oder regionale Förderschwerpunkte regeln</w:t>
      </w:r>
      <w:r w:rsidR="0063067D" w:rsidRPr="00AE1CEC">
        <w:rPr>
          <w:rFonts w:cstheme="minorHAnsi"/>
        </w:rPr>
        <w:t xml:space="preserve">. </w:t>
      </w:r>
      <w:r>
        <w:rPr>
          <w:rFonts w:cstheme="minorHAnsi"/>
        </w:rPr>
        <w:t>Es gelten</w:t>
      </w:r>
      <w:r w:rsidR="0063067D" w:rsidRPr="00AE1CEC">
        <w:rPr>
          <w:rFonts w:cstheme="minorHAnsi"/>
        </w:rPr>
        <w:t xml:space="preserve"> mindestens die Voraussetzungen der jeweilig </w:t>
      </w:r>
      <w:r>
        <w:rPr>
          <w:rFonts w:cstheme="minorHAnsi"/>
        </w:rPr>
        <w:t>einschlägigen</w:t>
      </w:r>
      <w:r w:rsidR="0063067D" w:rsidRPr="00AE1CEC">
        <w:rPr>
          <w:rFonts w:cstheme="minorHAnsi"/>
        </w:rPr>
        <w:t xml:space="preserve"> Module 1 und 2.</w:t>
      </w:r>
    </w:p>
    <w:p w14:paraId="0D4E3526" w14:textId="77777777" w:rsidR="009115CD" w:rsidRPr="00AE1CEC" w:rsidRDefault="009115CD" w:rsidP="009115CD">
      <w:pPr>
        <w:pStyle w:val="Listenabsatz"/>
        <w:spacing w:line="240" w:lineRule="auto"/>
        <w:contextualSpacing w:val="0"/>
        <w:rPr>
          <w:rFonts w:cstheme="minorHAnsi"/>
        </w:rPr>
      </w:pPr>
    </w:p>
    <w:p w14:paraId="4C1902D7" w14:textId="16313249" w:rsidR="00B05304" w:rsidRPr="00373DC2" w:rsidRDefault="004D1177" w:rsidP="00504AB3">
      <w:pPr>
        <w:spacing w:line="240" w:lineRule="auto"/>
        <w:rPr>
          <w:rFonts w:cstheme="minorHAnsi"/>
          <w:b/>
        </w:rPr>
      </w:pPr>
      <w:r>
        <w:rPr>
          <w:rFonts w:cstheme="minorHAnsi"/>
          <w:b/>
        </w:rPr>
        <w:t>8</w:t>
      </w:r>
      <w:r w:rsidRPr="00373DC2">
        <w:rPr>
          <w:rFonts w:cstheme="minorHAnsi"/>
          <w:b/>
        </w:rPr>
        <w:t xml:space="preserve"> </w:t>
      </w:r>
      <w:bookmarkStart w:id="47" w:name="_Hlk146035066"/>
      <w:r w:rsidR="00B05304" w:rsidRPr="00373DC2">
        <w:rPr>
          <w:rFonts w:cstheme="minorHAnsi"/>
          <w:b/>
        </w:rPr>
        <w:t xml:space="preserve">Subventionserhebliche Tatsachen </w:t>
      </w:r>
      <w:bookmarkEnd w:id="47"/>
    </w:p>
    <w:p w14:paraId="768EDF46" w14:textId="77777777" w:rsidR="00B05304" w:rsidRPr="00373DC2" w:rsidRDefault="00B05304" w:rsidP="00504AB3">
      <w:pPr>
        <w:pStyle w:val="Textkrper"/>
        <w:spacing w:line="240" w:lineRule="auto"/>
        <w:rPr>
          <w:rFonts w:cstheme="minorHAnsi"/>
        </w:rPr>
      </w:pPr>
      <w:r w:rsidRPr="00373DC2">
        <w:rPr>
          <w:rFonts w:cstheme="minorHAnsi"/>
        </w:rPr>
        <w:t>Alle Tatsachen, von denen die Gewährung oder Belassung der Zuschüsse nach dieser Richtlinie abhängig sind, sind subventionserhebliche Tatsachen im Sinne des § 264 StGB. Hierzu gehören insbesondere die technische Darstellung des Investitionsvorhabens sowie die Angaben über die wirtschaftlichen Verhältnisse des Antragstellers und bereits erhaltene Beihilfen. Im Antragsverfahren wird der Antragsteller zudem bereits vor der Antragstellung auf die Strafbarkeit des Subventionsbetruges und auf seine Mitteilungspflichten nach § 3 SubvG hingewiesen und es werden ihm entsprechend der Verwaltungsvorschrift Nummer 3.4.6 zu § 44 BHO die im konkreten Fall subventionserheblichen Tatsachen in Form einer abschließenden Positivliste benannt.</w:t>
      </w:r>
    </w:p>
    <w:p w14:paraId="7ED37405" w14:textId="1AAE97F6" w:rsidR="000117E1" w:rsidRPr="00373DC2" w:rsidRDefault="000117E1" w:rsidP="00504AB3">
      <w:pPr>
        <w:spacing w:line="240" w:lineRule="auto"/>
        <w:rPr>
          <w:rFonts w:cstheme="minorHAnsi"/>
        </w:rPr>
      </w:pPr>
    </w:p>
    <w:p w14:paraId="331A2976" w14:textId="7862EAC4" w:rsidR="00334DB9" w:rsidRPr="00373DC2" w:rsidRDefault="004D1177" w:rsidP="00504AB3">
      <w:pPr>
        <w:spacing w:line="240" w:lineRule="auto"/>
        <w:rPr>
          <w:rFonts w:cstheme="minorHAnsi"/>
          <w:b/>
        </w:rPr>
      </w:pPr>
      <w:r>
        <w:rPr>
          <w:rFonts w:cstheme="minorHAnsi"/>
          <w:b/>
        </w:rPr>
        <w:t>9</w:t>
      </w:r>
      <w:r w:rsidR="00AD7A40" w:rsidRPr="00373DC2">
        <w:rPr>
          <w:rFonts w:cstheme="minorHAnsi"/>
          <w:b/>
        </w:rPr>
        <w:t xml:space="preserve"> </w:t>
      </w:r>
      <w:bookmarkStart w:id="48" w:name="_Hlk146035074"/>
      <w:r w:rsidR="00334DB9" w:rsidRPr="00373DC2">
        <w:rPr>
          <w:rFonts w:cstheme="minorHAnsi"/>
          <w:b/>
        </w:rPr>
        <w:t>Kumulierung</w:t>
      </w:r>
      <w:bookmarkEnd w:id="48"/>
    </w:p>
    <w:p w14:paraId="5FB1AA73" w14:textId="0AAB0CF9" w:rsidR="00F062E6" w:rsidRPr="00373DC2" w:rsidRDefault="00E533C6" w:rsidP="00504AB3">
      <w:pPr>
        <w:pStyle w:val="Textkrper"/>
        <w:spacing w:line="240" w:lineRule="auto"/>
        <w:ind w:left="284" w:hanging="284"/>
        <w:rPr>
          <w:rFonts w:cstheme="minorHAnsi"/>
        </w:rPr>
      </w:pPr>
      <w:r w:rsidRPr="00373DC2">
        <w:rPr>
          <w:rFonts w:cstheme="minorHAnsi"/>
        </w:rPr>
        <w:t xml:space="preserve">(1) </w:t>
      </w:r>
      <w:r w:rsidR="00F062E6" w:rsidRPr="00373DC2">
        <w:rPr>
          <w:rFonts w:cstheme="minorHAnsi"/>
        </w:rPr>
        <w:t xml:space="preserve">Antragsteller dürfen Anträge in mehreren Modulen bzw. Teilmodulen stellen, soweit </w:t>
      </w:r>
      <w:r w:rsidR="00E7026E" w:rsidRPr="00373DC2">
        <w:rPr>
          <w:rFonts w:cstheme="minorHAnsi"/>
        </w:rPr>
        <w:t xml:space="preserve">es sich um unterschiedliche Vorhaben mit </w:t>
      </w:r>
      <w:r w:rsidR="003D5FA7">
        <w:rPr>
          <w:rFonts w:cstheme="minorHAnsi"/>
        </w:rPr>
        <w:t>unterschiedlichen</w:t>
      </w:r>
      <w:r w:rsidR="003D5FA7" w:rsidRPr="00373DC2">
        <w:rPr>
          <w:rFonts w:cstheme="minorHAnsi"/>
        </w:rPr>
        <w:t xml:space="preserve"> </w:t>
      </w:r>
      <w:r w:rsidR="00E7026E" w:rsidRPr="00373DC2">
        <w:rPr>
          <w:rFonts w:cstheme="minorHAnsi"/>
        </w:rPr>
        <w:t>förderfähigen Kosten handelt</w:t>
      </w:r>
      <w:r w:rsidR="00224CE8" w:rsidRPr="00373DC2">
        <w:rPr>
          <w:rFonts w:cstheme="minorHAnsi"/>
        </w:rPr>
        <w:t>. Parallele Anträge und bereits erhaltene Förderungen sind im Antrag zu nennen.</w:t>
      </w:r>
      <w:r w:rsidR="00184BEF" w:rsidRPr="00373DC2">
        <w:rPr>
          <w:rFonts w:cstheme="minorHAnsi"/>
        </w:rPr>
        <w:t xml:space="preserve"> Eine Doppelförderung ist ausgeschlossen. </w:t>
      </w:r>
    </w:p>
    <w:p w14:paraId="30CEF3D7" w14:textId="7F8B8B96" w:rsidR="00E533C6" w:rsidRPr="00373DC2" w:rsidRDefault="00F062E6" w:rsidP="00504AB3">
      <w:pPr>
        <w:pStyle w:val="Textkrper"/>
        <w:spacing w:line="240" w:lineRule="auto"/>
        <w:ind w:left="284" w:hanging="284"/>
        <w:rPr>
          <w:rFonts w:cstheme="minorHAnsi"/>
        </w:rPr>
      </w:pPr>
      <w:r w:rsidRPr="00373DC2">
        <w:rPr>
          <w:rFonts w:cstheme="minorHAnsi"/>
        </w:rPr>
        <w:t xml:space="preserve">(2) </w:t>
      </w:r>
      <w:r w:rsidR="006E1B5E" w:rsidRPr="00373DC2">
        <w:rPr>
          <w:rFonts w:cstheme="minorHAnsi"/>
        </w:rPr>
        <w:t>S</w:t>
      </w:r>
      <w:r w:rsidRPr="00373DC2">
        <w:rPr>
          <w:rFonts w:cstheme="minorHAnsi"/>
        </w:rPr>
        <w:t xml:space="preserve">oweit dieselben </w:t>
      </w:r>
      <w:r w:rsidR="006E1B5E" w:rsidRPr="00373DC2">
        <w:rPr>
          <w:rFonts w:cstheme="minorHAnsi"/>
        </w:rPr>
        <w:t xml:space="preserve">förderfähigen </w:t>
      </w:r>
      <w:r w:rsidRPr="00373DC2">
        <w:rPr>
          <w:rFonts w:cstheme="minorHAnsi"/>
        </w:rPr>
        <w:t>Kosten betroffen sind</w:t>
      </w:r>
      <w:r w:rsidR="006E1B5E" w:rsidRPr="00373DC2">
        <w:rPr>
          <w:rFonts w:cstheme="minorHAnsi"/>
        </w:rPr>
        <w:t xml:space="preserve">, darf eine Förderung nicht mit staatlichen Fördermitteln </w:t>
      </w:r>
      <w:r w:rsidR="00E7026E" w:rsidRPr="00373DC2">
        <w:rPr>
          <w:rFonts w:cstheme="minorHAnsi"/>
        </w:rPr>
        <w:t xml:space="preserve">aus anderen Programmen </w:t>
      </w:r>
      <w:r w:rsidR="006E1B5E" w:rsidRPr="00373DC2">
        <w:rPr>
          <w:rFonts w:cstheme="minorHAnsi"/>
        </w:rPr>
        <w:t>kumuliert werden, sofern diese als Beihilfen im Sinne des Artikels 107 Absatz 1 AEUV oder als zentral verwaltete Unionsmittel, die nicht direkt oder indirekt der Kontrolle Deutschlands unterliegen, zu qualifizieren sind (andere staatliche Fördermittel).</w:t>
      </w:r>
    </w:p>
    <w:p w14:paraId="0DB571D5" w14:textId="07EE5CB6" w:rsidR="00334DB9" w:rsidRPr="00373DC2" w:rsidRDefault="00E533C6" w:rsidP="00504AB3">
      <w:pPr>
        <w:pStyle w:val="Textkrper"/>
        <w:spacing w:line="240" w:lineRule="auto"/>
        <w:ind w:left="284" w:hanging="284"/>
        <w:rPr>
          <w:rFonts w:cstheme="minorHAnsi"/>
        </w:rPr>
      </w:pPr>
      <w:r w:rsidRPr="00373DC2">
        <w:rPr>
          <w:rFonts w:cstheme="minorHAnsi"/>
        </w:rPr>
        <w:t>(</w:t>
      </w:r>
      <w:r w:rsidR="00F062E6" w:rsidRPr="00373DC2">
        <w:rPr>
          <w:rFonts w:cstheme="minorHAnsi"/>
        </w:rPr>
        <w:t>3</w:t>
      </w:r>
      <w:r w:rsidRPr="00373DC2">
        <w:rPr>
          <w:rFonts w:cstheme="minorHAnsi"/>
        </w:rPr>
        <w:t xml:space="preserve">) </w:t>
      </w:r>
      <w:r w:rsidR="00334DB9" w:rsidRPr="00373DC2">
        <w:rPr>
          <w:rFonts w:cstheme="minorHAnsi"/>
        </w:rPr>
        <w:t xml:space="preserve">Eine </w:t>
      </w:r>
      <w:r w:rsidR="00E7026E" w:rsidRPr="00373DC2">
        <w:rPr>
          <w:rFonts w:cstheme="minorHAnsi"/>
        </w:rPr>
        <w:t xml:space="preserve">Förderung für unterschiedliche förderfähige Kosten darf </w:t>
      </w:r>
      <w:r w:rsidR="00334DB9" w:rsidRPr="00373DC2">
        <w:rPr>
          <w:rFonts w:cstheme="minorHAnsi"/>
        </w:rPr>
        <w:t xml:space="preserve">mit </w:t>
      </w:r>
      <w:r w:rsidR="006E1B5E" w:rsidRPr="00373DC2">
        <w:rPr>
          <w:rFonts w:cstheme="minorHAnsi"/>
        </w:rPr>
        <w:t xml:space="preserve">anderen staatlichen </w:t>
      </w:r>
      <w:r w:rsidR="00334DB9" w:rsidRPr="00373DC2">
        <w:rPr>
          <w:rFonts w:cstheme="minorHAnsi"/>
        </w:rPr>
        <w:t xml:space="preserve">Fördermitteln </w:t>
      </w:r>
      <w:r w:rsidR="00E7026E" w:rsidRPr="00373DC2">
        <w:rPr>
          <w:rFonts w:cstheme="minorHAnsi"/>
        </w:rPr>
        <w:t xml:space="preserve">nur kumuliert werden, soweit dies aufgrund </w:t>
      </w:r>
      <w:r w:rsidR="00334DB9" w:rsidRPr="00373DC2">
        <w:rPr>
          <w:rFonts w:cstheme="minorHAnsi"/>
        </w:rPr>
        <w:t xml:space="preserve">der </w:t>
      </w:r>
      <w:r w:rsidR="00E7026E" w:rsidRPr="00373DC2">
        <w:rPr>
          <w:rFonts w:cstheme="minorHAnsi"/>
        </w:rPr>
        <w:t xml:space="preserve">beihilferechtlichen </w:t>
      </w:r>
      <w:r w:rsidR="00334DB9" w:rsidRPr="00373DC2">
        <w:rPr>
          <w:rFonts w:cstheme="minorHAnsi"/>
        </w:rPr>
        <w:t xml:space="preserve">Kumulierungsregeln </w:t>
      </w:r>
      <w:r w:rsidR="00E7026E" w:rsidRPr="00373DC2">
        <w:rPr>
          <w:rFonts w:cstheme="minorHAnsi"/>
        </w:rPr>
        <w:t xml:space="preserve">zulässig ist, insbesondere nach </w:t>
      </w:r>
      <w:r w:rsidR="001A4F3E" w:rsidRPr="00373DC2">
        <w:rPr>
          <w:rFonts w:cstheme="minorHAnsi"/>
        </w:rPr>
        <w:t>Art.</w:t>
      </w:r>
      <w:r w:rsidR="00334DB9" w:rsidRPr="00373DC2">
        <w:rPr>
          <w:rFonts w:cstheme="minorHAnsi"/>
        </w:rPr>
        <w:t xml:space="preserve"> 8 AGVO</w:t>
      </w:r>
      <w:r w:rsidR="00E7026E" w:rsidRPr="00373DC2">
        <w:rPr>
          <w:rFonts w:cstheme="minorHAnsi"/>
        </w:rPr>
        <w:t xml:space="preserve"> und</w:t>
      </w:r>
      <w:r w:rsidR="00334DB9" w:rsidRPr="00373DC2">
        <w:rPr>
          <w:rFonts w:cstheme="minorHAnsi"/>
        </w:rPr>
        <w:t xml:space="preserve"> </w:t>
      </w:r>
      <w:r w:rsidR="00E7026E" w:rsidRPr="00373DC2">
        <w:rPr>
          <w:rFonts w:cstheme="minorHAnsi"/>
        </w:rPr>
        <w:t>de</w:t>
      </w:r>
      <w:r w:rsidR="00A5358E" w:rsidRPr="00373DC2">
        <w:rPr>
          <w:rFonts w:cstheme="minorHAnsi"/>
        </w:rPr>
        <w:t>r</w:t>
      </w:r>
      <w:r w:rsidR="00E7026E" w:rsidRPr="00373DC2">
        <w:rPr>
          <w:rFonts w:cstheme="minorHAnsi"/>
        </w:rPr>
        <w:t xml:space="preserve"> </w:t>
      </w:r>
      <w:r w:rsidR="00591EB4" w:rsidRPr="00373DC2">
        <w:rPr>
          <w:rFonts w:cstheme="minorHAnsi"/>
          <w:highlight w:val="yellow"/>
        </w:rPr>
        <w:t>Bundesregelung</w:t>
      </w:r>
      <w:r w:rsidR="00334DB9" w:rsidRPr="00373DC2">
        <w:rPr>
          <w:rFonts w:cstheme="minorHAnsi"/>
        </w:rPr>
        <w:t xml:space="preserve">. Bei der </w:t>
      </w:r>
      <w:r w:rsidR="00334DB9" w:rsidRPr="00373DC2">
        <w:rPr>
          <w:rFonts w:cstheme="minorHAnsi"/>
        </w:rPr>
        <w:lastRenderedPageBreak/>
        <w:t xml:space="preserve">Prüfung, ob die festgelegten Anmeldeschwellen und Beihilfehöchstintensitäten eingehalten sind, werden die für das geförderte Vorhaben insgesamt </w:t>
      </w:r>
      <w:r w:rsidR="00E7026E" w:rsidRPr="00373DC2">
        <w:rPr>
          <w:rFonts w:cstheme="minorHAnsi"/>
        </w:rPr>
        <w:t xml:space="preserve">auf gleicher Rechtsgrundlage </w:t>
      </w:r>
      <w:r w:rsidR="00334DB9" w:rsidRPr="00373DC2">
        <w:rPr>
          <w:rFonts w:cstheme="minorHAnsi"/>
        </w:rPr>
        <w:t>gewährten staatlichen Beihilfen berücksichtigt.</w:t>
      </w:r>
    </w:p>
    <w:p w14:paraId="48C35F5A" w14:textId="5884B8E3" w:rsidR="00090365" w:rsidRPr="00DE4A10" w:rsidRDefault="009B4D84" w:rsidP="00DE4A10">
      <w:pPr>
        <w:spacing w:line="240" w:lineRule="auto"/>
        <w:rPr>
          <w:rFonts w:cstheme="minorHAnsi"/>
          <w:b/>
        </w:rPr>
      </w:pPr>
      <w:r w:rsidRPr="00DE4A10">
        <w:rPr>
          <w:rFonts w:cstheme="minorHAnsi"/>
          <w:b/>
        </w:rPr>
        <w:t>10 Sanktionsmechanismus</w:t>
      </w:r>
    </w:p>
    <w:p w14:paraId="3E9B4B49" w14:textId="2F5C1324" w:rsidR="009B4D84" w:rsidRPr="00373DC2" w:rsidRDefault="009B4D84" w:rsidP="009115CD">
      <w:pPr>
        <w:pStyle w:val="Textkrper"/>
        <w:spacing w:after="160" w:line="240" w:lineRule="auto"/>
        <w:rPr>
          <w:rFonts w:cstheme="minorHAnsi"/>
        </w:rPr>
      </w:pPr>
      <w:r>
        <w:rPr>
          <w:rFonts w:cstheme="minorHAnsi"/>
        </w:rPr>
        <w:t xml:space="preserve">Das BMWK </w:t>
      </w:r>
      <w:r w:rsidR="00055659">
        <w:rPr>
          <w:rFonts w:cstheme="minorHAnsi"/>
        </w:rPr>
        <w:t>sichert die</w:t>
      </w:r>
      <w:r>
        <w:rPr>
          <w:rFonts w:cstheme="minorHAnsi"/>
        </w:rPr>
        <w:t xml:space="preserve"> Einhaltung der Förderbedingungen</w:t>
      </w:r>
      <w:r w:rsidR="00055659">
        <w:rPr>
          <w:rFonts w:cstheme="minorHAnsi"/>
        </w:rPr>
        <w:t xml:space="preserve"> durch</w:t>
      </w:r>
      <w:r>
        <w:rPr>
          <w:rFonts w:cstheme="minorHAnsi"/>
        </w:rPr>
        <w:t xml:space="preserve"> </w:t>
      </w:r>
      <w:r w:rsidR="00055659">
        <w:rPr>
          <w:rFonts w:cstheme="minorHAnsi"/>
        </w:rPr>
        <w:t>Auflagen</w:t>
      </w:r>
      <w:r>
        <w:rPr>
          <w:rFonts w:cstheme="minorHAnsi"/>
        </w:rPr>
        <w:t xml:space="preserve">.  </w:t>
      </w:r>
    </w:p>
    <w:p w14:paraId="04DCA351" w14:textId="5F1D6434" w:rsidR="00334DB9" w:rsidRPr="00373DC2" w:rsidRDefault="009B4D84" w:rsidP="00504AB3">
      <w:pPr>
        <w:spacing w:line="240" w:lineRule="auto"/>
        <w:rPr>
          <w:rFonts w:cstheme="minorHAnsi"/>
          <w:b/>
        </w:rPr>
      </w:pPr>
      <w:r>
        <w:rPr>
          <w:rFonts w:cstheme="minorHAnsi"/>
          <w:b/>
        </w:rPr>
        <w:t>11</w:t>
      </w:r>
      <w:r w:rsidR="00334DB9" w:rsidRPr="00373DC2">
        <w:rPr>
          <w:rFonts w:cstheme="minorHAnsi"/>
          <w:b/>
        </w:rPr>
        <w:t xml:space="preserve"> </w:t>
      </w:r>
      <w:bookmarkStart w:id="49" w:name="_Hlk146035079"/>
      <w:r w:rsidR="00591EB4" w:rsidRPr="00373DC2">
        <w:rPr>
          <w:rFonts w:cstheme="minorHAnsi"/>
          <w:b/>
        </w:rPr>
        <w:t>Transparenz</w:t>
      </w:r>
      <w:r w:rsidR="003D5178" w:rsidRPr="00373DC2">
        <w:rPr>
          <w:rFonts w:cstheme="minorHAnsi"/>
          <w:b/>
        </w:rPr>
        <w:t xml:space="preserve"> und Koordinierung</w:t>
      </w:r>
      <w:bookmarkEnd w:id="49"/>
    </w:p>
    <w:p w14:paraId="76020349" w14:textId="6DC59289" w:rsidR="00334DB9" w:rsidRPr="00373DC2" w:rsidRDefault="00334DB9" w:rsidP="00AA3131">
      <w:pPr>
        <w:pStyle w:val="Textkrper"/>
        <w:numPr>
          <w:ilvl w:val="0"/>
          <w:numId w:val="16"/>
        </w:numPr>
        <w:spacing w:line="240" w:lineRule="auto"/>
        <w:ind w:left="284" w:hanging="284"/>
        <w:rPr>
          <w:rFonts w:cstheme="minorHAnsi"/>
        </w:rPr>
      </w:pPr>
      <w:r w:rsidRPr="00373DC2">
        <w:rPr>
          <w:rFonts w:cstheme="minorHAnsi"/>
        </w:rPr>
        <w:t xml:space="preserve">Einzelbeihilfen in Höhe von mehr als </w:t>
      </w:r>
      <w:r w:rsidR="00305278" w:rsidRPr="00373DC2">
        <w:rPr>
          <w:rFonts w:cstheme="minorHAnsi"/>
        </w:rPr>
        <w:t xml:space="preserve">100 </w:t>
      </w:r>
      <w:r w:rsidRPr="00373DC2">
        <w:rPr>
          <w:rFonts w:cstheme="minorHAnsi"/>
        </w:rPr>
        <w:t xml:space="preserve">000 Euro werden gemäß </w:t>
      </w:r>
      <w:r w:rsidR="001A4F3E" w:rsidRPr="00373DC2">
        <w:rPr>
          <w:rFonts w:cstheme="minorHAnsi"/>
        </w:rPr>
        <w:t>Art.</w:t>
      </w:r>
      <w:r w:rsidRPr="00373DC2">
        <w:rPr>
          <w:rFonts w:cstheme="minorHAnsi"/>
        </w:rPr>
        <w:t xml:space="preserve"> 9 AGVO</w:t>
      </w:r>
      <w:r w:rsidR="00591EB4" w:rsidRPr="00373DC2">
        <w:rPr>
          <w:rFonts w:cstheme="minorHAnsi"/>
        </w:rPr>
        <w:t xml:space="preserve"> bzw. nach den Vorgaben der </w:t>
      </w:r>
      <w:r w:rsidR="00591EB4" w:rsidRPr="00373DC2">
        <w:rPr>
          <w:rFonts w:cstheme="minorHAnsi"/>
          <w:highlight w:val="yellow"/>
        </w:rPr>
        <w:t>Bundesregelung</w:t>
      </w:r>
      <w:r w:rsidRPr="00373DC2">
        <w:rPr>
          <w:rFonts w:cstheme="minorHAnsi"/>
        </w:rPr>
        <w:t xml:space="preserve"> veröffentlicht. Erhaltene Beihilfen können gemäß </w:t>
      </w:r>
      <w:r w:rsidR="001A4F3E" w:rsidRPr="00373DC2">
        <w:rPr>
          <w:rFonts w:cstheme="minorHAnsi"/>
        </w:rPr>
        <w:t>Art.</w:t>
      </w:r>
      <w:r w:rsidRPr="00373DC2">
        <w:rPr>
          <w:rFonts w:cstheme="minorHAnsi"/>
        </w:rPr>
        <w:t xml:space="preserve"> 12 AGVO</w:t>
      </w:r>
      <w:r w:rsidR="00591EB4" w:rsidRPr="00373DC2">
        <w:rPr>
          <w:rFonts w:cstheme="minorHAnsi"/>
        </w:rPr>
        <w:t xml:space="preserve"> und den Bundesregelungen</w:t>
      </w:r>
      <w:r w:rsidRPr="00373DC2">
        <w:rPr>
          <w:rFonts w:cstheme="minorHAnsi"/>
        </w:rPr>
        <w:t xml:space="preserve"> jederzeit von der </w:t>
      </w:r>
      <w:r w:rsidR="0034465B" w:rsidRPr="00373DC2">
        <w:rPr>
          <w:rFonts w:cstheme="minorHAnsi"/>
          <w:color w:val="000000" w:themeColor="text1"/>
        </w:rPr>
        <w:t>Europäischen Kommission</w:t>
      </w:r>
      <w:r w:rsidRPr="00373DC2">
        <w:rPr>
          <w:rFonts w:cstheme="minorHAnsi"/>
        </w:rPr>
        <w:t xml:space="preserve"> geprüft werden. Die zu diesem Zwecke erforderlichen Informationen werden zehn Jahre </w:t>
      </w:r>
      <w:r w:rsidR="00CE7644" w:rsidRPr="00373DC2">
        <w:rPr>
          <w:rFonts w:cstheme="minorHAnsi"/>
        </w:rPr>
        <w:t xml:space="preserve">nach Ende des Vorhabens </w:t>
      </w:r>
      <w:r w:rsidRPr="00373DC2">
        <w:rPr>
          <w:rFonts w:cstheme="minorHAnsi"/>
        </w:rPr>
        <w:t>aufbewahrt. Die Zuwendungsempfänger verpflichten sich zur Herausgabe weiterer für diese Zwecke notwendigen Informationen.</w:t>
      </w:r>
    </w:p>
    <w:p w14:paraId="51DEE9B4" w14:textId="36B86025" w:rsidR="003D5178" w:rsidRPr="00373DC2" w:rsidRDefault="003D5178" w:rsidP="00AA3131">
      <w:pPr>
        <w:pStyle w:val="Textkrper"/>
        <w:numPr>
          <w:ilvl w:val="0"/>
          <w:numId w:val="16"/>
        </w:numPr>
        <w:spacing w:line="240" w:lineRule="auto"/>
        <w:ind w:left="284" w:hanging="284"/>
        <w:rPr>
          <w:rFonts w:cstheme="minorHAnsi"/>
        </w:rPr>
      </w:pPr>
      <w:r w:rsidRPr="00373DC2">
        <w:rPr>
          <w:rFonts w:cstheme="minorHAnsi"/>
        </w:rPr>
        <w:t>Das BMWK koordiniert die Durchführung der Fördermodule mit den Projektträgern, den weiteren Beteiligten und betroffenen Bundesländern.</w:t>
      </w:r>
    </w:p>
    <w:p w14:paraId="45F61A18" w14:textId="77777777" w:rsidR="00090365" w:rsidRPr="00373DC2" w:rsidRDefault="00090365" w:rsidP="009115CD">
      <w:pPr>
        <w:pStyle w:val="Textkrper"/>
        <w:spacing w:after="160" w:line="240" w:lineRule="auto"/>
        <w:rPr>
          <w:rFonts w:cstheme="minorHAnsi"/>
        </w:rPr>
      </w:pPr>
    </w:p>
    <w:p w14:paraId="4644F7C3" w14:textId="7FB6E64A" w:rsidR="00334DB9" w:rsidRPr="00373DC2" w:rsidRDefault="009B4D84" w:rsidP="00504AB3">
      <w:pPr>
        <w:spacing w:line="240" w:lineRule="auto"/>
        <w:rPr>
          <w:rFonts w:cstheme="minorHAnsi"/>
          <w:b/>
        </w:rPr>
      </w:pPr>
      <w:r>
        <w:rPr>
          <w:rFonts w:cstheme="minorHAnsi"/>
          <w:b/>
        </w:rPr>
        <w:t>12</w:t>
      </w:r>
      <w:r w:rsidR="00334DB9" w:rsidRPr="00373DC2">
        <w:rPr>
          <w:rFonts w:cstheme="minorHAnsi"/>
          <w:b/>
        </w:rPr>
        <w:t xml:space="preserve"> </w:t>
      </w:r>
      <w:bookmarkStart w:id="50" w:name="_Hlk146035085"/>
      <w:r w:rsidR="00334DB9" w:rsidRPr="00373DC2">
        <w:rPr>
          <w:rFonts w:cstheme="minorHAnsi"/>
          <w:b/>
        </w:rPr>
        <w:t>Sonstige Zuwendungsbestimmungen</w:t>
      </w:r>
      <w:bookmarkEnd w:id="50"/>
    </w:p>
    <w:p w14:paraId="59CD6AB8" w14:textId="7018BDED" w:rsidR="00376334" w:rsidRPr="00373DC2" w:rsidRDefault="009B4D84" w:rsidP="00504AB3">
      <w:pPr>
        <w:spacing w:line="240" w:lineRule="auto"/>
        <w:rPr>
          <w:rFonts w:cstheme="minorHAnsi"/>
          <w:b/>
        </w:rPr>
      </w:pPr>
      <w:r>
        <w:rPr>
          <w:rFonts w:cstheme="minorHAnsi"/>
          <w:b/>
        </w:rPr>
        <w:t>12</w:t>
      </w:r>
      <w:r w:rsidR="00376334" w:rsidRPr="00373DC2">
        <w:rPr>
          <w:rFonts w:cstheme="minorHAnsi"/>
          <w:b/>
        </w:rPr>
        <w:t xml:space="preserve">.1 </w:t>
      </w:r>
      <w:bookmarkStart w:id="51" w:name="_Hlk146035093"/>
      <w:r w:rsidR="00376334" w:rsidRPr="00373DC2">
        <w:rPr>
          <w:rFonts w:cstheme="minorHAnsi"/>
          <w:b/>
        </w:rPr>
        <w:t>Zu beachtende Vorschriften der BHO</w:t>
      </w:r>
      <w:bookmarkEnd w:id="51"/>
    </w:p>
    <w:p w14:paraId="478B27C5" w14:textId="77777777" w:rsidR="00AA3131" w:rsidRDefault="00376334" w:rsidP="00FF125D">
      <w:pPr>
        <w:pStyle w:val="Textkrper"/>
        <w:numPr>
          <w:ilvl w:val="0"/>
          <w:numId w:val="37"/>
        </w:numPr>
        <w:spacing w:line="240" w:lineRule="auto"/>
        <w:rPr>
          <w:rFonts w:cstheme="minorHAnsi"/>
        </w:rPr>
      </w:pPr>
      <w:r w:rsidRPr="00373DC2">
        <w:rPr>
          <w:rFonts w:cstheme="minorHAnsi"/>
        </w:rPr>
        <w:t xml:space="preserve">Für die Bewilligung, Auszahlung und Abrechnung der Zuwendung sowie für den Nachweis und die Prüfung der Verwendung und die gegebenenfalls erforderliche Aufhebung des Zuwendungsbescheides und die Rückforderung der gewährten Zuwendung gelten die §§ 48 bis 49a des Verwaltungsverfahrensgesetzes, die §§ 23, 44 BHO und die hierzu erlassenen Allgemeinen Verwaltungsvorschriften, soweit nicht in dieser Förderrichtlinie Abweichungen von den Allgemeinen Verwaltungsvorschriften zugelassen sind. </w:t>
      </w:r>
    </w:p>
    <w:p w14:paraId="0B6FC461" w14:textId="26A4F15C" w:rsidR="00376334" w:rsidRPr="009115CD" w:rsidRDefault="00376334" w:rsidP="009115CD">
      <w:pPr>
        <w:pStyle w:val="Textkrper"/>
        <w:numPr>
          <w:ilvl w:val="0"/>
          <w:numId w:val="37"/>
        </w:numPr>
        <w:spacing w:after="160" w:line="240" w:lineRule="auto"/>
        <w:ind w:left="714" w:hanging="357"/>
        <w:rPr>
          <w:rFonts w:cstheme="minorHAnsi"/>
        </w:rPr>
      </w:pPr>
      <w:r w:rsidRPr="009115CD">
        <w:rPr>
          <w:rFonts w:cstheme="minorHAnsi"/>
        </w:rPr>
        <w:t>Der Bundesrechnungshof ist gemäß § 91 BHO zur Prüfung berechtigt.</w:t>
      </w:r>
    </w:p>
    <w:p w14:paraId="5EE1D193" w14:textId="74B3C947" w:rsidR="00334DB9" w:rsidRPr="00373DC2" w:rsidRDefault="009B4D84" w:rsidP="00504AB3">
      <w:pPr>
        <w:spacing w:line="240" w:lineRule="auto"/>
        <w:rPr>
          <w:rFonts w:cstheme="minorHAnsi"/>
          <w:b/>
        </w:rPr>
      </w:pPr>
      <w:r>
        <w:rPr>
          <w:rFonts w:cstheme="minorHAnsi"/>
          <w:b/>
        </w:rPr>
        <w:t>12</w:t>
      </w:r>
      <w:r w:rsidR="00334DB9" w:rsidRPr="00373DC2">
        <w:rPr>
          <w:rFonts w:cstheme="minorHAnsi"/>
          <w:b/>
        </w:rPr>
        <w:t>.</w:t>
      </w:r>
      <w:r w:rsidR="003D5178" w:rsidRPr="00373DC2">
        <w:rPr>
          <w:rFonts w:cstheme="minorHAnsi"/>
          <w:b/>
        </w:rPr>
        <w:t>2</w:t>
      </w:r>
      <w:r w:rsidR="00BD4A24" w:rsidRPr="00373DC2">
        <w:rPr>
          <w:rFonts w:cstheme="minorHAnsi"/>
          <w:b/>
        </w:rPr>
        <w:tab/>
      </w:r>
      <w:bookmarkStart w:id="52" w:name="_Hlk146035121"/>
      <w:r w:rsidR="00334DB9" w:rsidRPr="00373DC2">
        <w:rPr>
          <w:rFonts w:cstheme="minorHAnsi"/>
          <w:b/>
        </w:rPr>
        <w:t>Evaluierung, Auskunftserteilung, Vor-Ort-Prüfungen, Verwendungsnachweisverfahren</w:t>
      </w:r>
      <w:bookmarkEnd w:id="52"/>
    </w:p>
    <w:p w14:paraId="621B6F44" w14:textId="7139C5A8" w:rsidR="003C5ECE" w:rsidRPr="00373DC2" w:rsidRDefault="003C5ECE" w:rsidP="00504AB3">
      <w:pPr>
        <w:pStyle w:val="Textkrper"/>
        <w:spacing w:line="240" w:lineRule="auto"/>
        <w:rPr>
          <w:rFonts w:cstheme="minorHAnsi"/>
        </w:rPr>
      </w:pPr>
      <w:r w:rsidRPr="00373DC2">
        <w:rPr>
          <w:rFonts w:cstheme="minorHAnsi"/>
        </w:rPr>
        <w:t xml:space="preserve">(1) </w:t>
      </w:r>
      <w:r w:rsidR="00334DB9" w:rsidRPr="00373DC2">
        <w:rPr>
          <w:rFonts w:cstheme="minorHAnsi"/>
        </w:rPr>
        <w:t>Das Förderprogramm wird laufend evaluiert.</w:t>
      </w:r>
      <w:r w:rsidR="000B1846" w:rsidRPr="00373DC2">
        <w:rPr>
          <w:rFonts w:cstheme="minorHAnsi"/>
        </w:rPr>
        <w:t xml:space="preserve"> </w:t>
      </w:r>
    </w:p>
    <w:p w14:paraId="1831D729" w14:textId="32456341" w:rsidR="00334DB9" w:rsidRPr="00373DC2" w:rsidRDefault="003C5ECE" w:rsidP="00504AB3">
      <w:pPr>
        <w:pStyle w:val="Textkrper"/>
        <w:spacing w:line="240" w:lineRule="auto"/>
        <w:rPr>
          <w:rFonts w:cstheme="minorHAnsi"/>
        </w:rPr>
      </w:pPr>
      <w:r w:rsidRPr="00373DC2">
        <w:rPr>
          <w:rFonts w:cstheme="minorHAnsi"/>
        </w:rPr>
        <w:t xml:space="preserve">(2) </w:t>
      </w:r>
      <w:r w:rsidR="000B1846" w:rsidRPr="00373DC2">
        <w:rPr>
          <w:rFonts w:cstheme="minorHAnsi"/>
        </w:rPr>
        <w:t>Dem BMWK und d</w:t>
      </w:r>
      <w:r w:rsidR="00334DB9" w:rsidRPr="00373DC2">
        <w:rPr>
          <w:rFonts w:cstheme="minorHAnsi"/>
        </w:rPr>
        <w:t xml:space="preserve">en Beauftragten des </w:t>
      </w:r>
      <w:r w:rsidR="00CC4B89" w:rsidRPr="00373DC2">
        <w:rPr>
          <w:rFonts w:cstheme="minorHAnsi"/>
        </w:rPr>
        <w:t xml:space="preserve">BMWK </w:t>
      </w:r>
      <w:r w:rsidR="00334DB9" w:rsidRPr="00373DC2">
        <w:rPr>
          <w:rFonts w:cstheme="minorHAnsi"/>
        </w:rPr>
        <w:t>sind auf Verlangen erforderliche Auskünfte zu erteilen, Einsicht in Bücher und Unterlagen sowie Prüfungen zu gestatten. Der Antragsteller muss sich im Antrag auf eine Zuwendung damit einverstanden erklären, dass</w:t>
      </w:r>
    </w:p>
    <w:p w14:paraId="4B1802CE" w14:textId="79FC64A2" w:rsidR="00334DB9" w:rsidRPr="00373DC2" w:rsidRDefault="00334DB9" w:rsidP="00504AB3">
      <w:pPr>
        <w:pStyle w:val="Liste2"/>
        <w:spacing w:line="240" w:lineRule="auto"/>
        <w:rPr>
          <w:rFonts w:cstheme="minorHAnsi"/>
        </w:rPr>
      </w:pPr>
      <w:r w:rsidRPr="00373DC2">
        <w:rPr>
          <w:rFonts w:cstheme="minorHAnsi"/>
        </w:rPr>
        <w:t>a)</w:t>
      </w:r>
      <w:r w:rsidR="00BD4A24" w:rsidRPr="00373DC2">
        <w:rPr>
          <w:rFonts w:cstheme="minorHAnsi"/>
        </w:rPr>
        <w:tab/>
      </w:r>
      <w:r w:rsidR="00CC4B89" w:rsidRPr="00373DC2">
        <w:rPr>
          <w:rFonts w:cstheme="minorHAnsi"/>
        </w:rPr>
        <w:t xml:space="preserve">BMWK </w:t>
      </w:r>
      <w:r w:rsidRPr="00373DC2">
        <w:rPr>
          <w:rFonts w:cstheme="minorHAnsi"/>
        </w:rPr>
        <w:t>dem Haushaltsausschuss des Deutschen Bundestages und danach auf Verlangen auch anderen Ausschüssen des Deutschen Bundestages im Einzelfall Namen des Antragstellers, Höhe und Zweck der Investitionszuwendung in vertraulicher Weise bekannt gibt, sofern der Haushaltsausschuss dies beantragt;</w:t>
      </w:r>
    </w:p>
    <w:p w14:paraId="73307A8A" w14:textId="656FEEA2" w:rsidR="00334DB9" w:rsidRPr="00373DC2" w:rsidRDefault="00334DB9" w:rsidP="00504AB3">
      <w:pPr>
        <w:pStyle w:val="Liste2"/>
        <w:spacing w:line="240" w:lineRule="auto"/>
        <w:rPr>
          <w:rFonts w:cstheme="minorHAnsi"/>
        </w:rPr>
      </w:pPr>
      <w:r w:rsidRPr="00373DC2">
        <w:rPr>
          <w:rFonts w:cstheme="minorHAnsi"/>
        </w:rPr>
        <w:t>b)</w:t>
      </w:r>
      <w:r w:rsidR="00BD4A24" w:rsidRPr="00373DC2">
        <w:rPr>
          <w:rFonts w:cstheme="minorHAnsi"/>
        </w:rPr>
        <w:tab/>
      </w:r>
      <w:r w:rsidRPr="00373DC2">
        <w:rPr>
          <w:rFonts w:cstheme="minorHAnsi"/>
        </w:rPr>
        <w:t>zum Zwecke einer Evaluierung vom BM</w:t>
      </w:r>
      <w:r w:rsidR="00CC4B89" w:rsidRPr="00373DC2">
        <w:rPr>
          <w:rFonts w:cstheme="minorHAnsi"/>
        </w:rPr>
        <w:t>WK</w:t>
      </w:r>
      <w:r w:rsidRPr="00373DC2">
        <w:rPr>
          <w:rFonts w:cstheme="minorHAnsi"/>
        </w:rPr>
        <w:t xml:space="preserve"> oder dessen Beauftragten Einsicht in dafür erforderliche Unterlagen des Förderverfahrens bzw. -vorhabens genommen werden kann.</w:t>
      </w:r>
    </w:p>
    <w:p w14:paraId="25D9FAF1" w14:textId="518C374B" w:rsidR="00334DB9" w:rsidRPr="00373DC2" w:rsidRDefault="003C5ECE" w:rsidP="00504AB3">
      <w:pPr>
        <w:pStyle w:val="Textkrper"/>
        <w:spacing w:line="240" w:lineRule="auto"/>
        <w:rPr>
          <w:rFonts w:cstheme="minorHAnsi"/>
        </w:rPr>
      </w:pPr>
      <w:r w:rsidRPr="00373DC2">
        <w:rPr>
          <w:rFonts w:cstheme="minorHAnsi"/>
        </w:rPr>
        <w:t xml:space="preserve">(3) </w:t>
      </w:r>
      <w:r w:rsidR="00334DB9" w:rsidRPr="00373DC2">
        <w:rPr>
          <w:rFonts w:cstheme="minorHAnsi"/>
        </w:rPr>
        <w:t xml:space="preserve">Zur Überprüfung der im Förderverfahren gemachten Angaben nehmen das </w:t>
      </w:r>
      <w:r w:rsidR="00CC4B89" w:rsidRPr="00373DC2">
        <w:rPr>
          <w:rFonts w:cstheme="minorHAnsi"/>
        </w:rPr>
        <w:t xml:space="preserve">BMWK </w:t>
      </w:r>
      <w:r w:rsidR="00334DB9" w:rsidRPr="00373DC2">
        <w:rPr>
          <w:rFonts w:cstheme="minorHAnsi"/>
        </w:rPr>
        <w:t xml:space="preserve">bzw. dessen Beauftragte im Einzelfall </w:t>
      </w:r>
      <w:r w:rsidR="00A409B6" w:rsidRPr="00373DC2">
        <w:rPr>
          <w:rFonts w:cstheme="minorHAnsi"/>
        </w:rPr>
        <w:t>auch</w:t>
      </w:r>
      <w:r w:rsidR="00334DB9" w:rsidRPr="00373DC2">
        <w:rPr>
          <w:rFonts w:cstheme="minorHAnsi"/>
        </w:rPr>
        <w:t xml:space="preserve"> Vor-Ort-Prüfungen vor.</w:t>
      </w:r>
      <w:r w:rsidR="000B1846" w:rsidRPr="00373DC2">
        <w:rPr>
          <w:rFonts w:cstheme="minorHAnsi"/>
        </w:rPr>
        <w:t xml:space="preserve"> </w:t>
      </w:r>
      <w:r w:rsidR="00334DB9" w:rsidRPr="00373DC2">
        <w:rPr>
          <w:rFonts w:cstheme="minorHAnsi"/>
        </w:rPr>
        <w:t xml:space="preserve">Die Beauftragten des </w:t>
      </w:r>
      <w:r w:rsidR="00CC4B89" w:rsidRPr="00373DC2">
        <w:rPr>
          <w:rFonts w:cstheme="minorHAnsi"/>
        </w:rPr>
        <w:t>BMWK</w:t>
      </w:r>
      <w:r w:rsidR="00334DB9" w:rsidRPr="00373DC2">
        <w:rPr>
          <w:rFonts w:cstheme="minorHAnsi"/>
        </w:rPr>
        <w:t xml:space="preserve"> sind zur Weitergabe von Informationen untereinander berechtigt.</w:t>
      </w:r>
      <w:r w:rsidR="003D18AC" w:rsidRPr="00373DC2">
        <w:rPr>
          <w:rFonts w:cstheme="minorHAnsi"/>
        </w:rPr>
        <w:t xml:space="preserve"> </w:t>
      </w:r>
      <w:r w:rsidR="00334DB9" w:rsidRPr="00373DC2">
        <w:rPr>
          <w:rFonts w:cstheme="minorHAnsi"/>
        </w:rPr>
        <w:t>Die abschließende Prüfung des Verwendungsnachweises erfolgt durch die Bewilligungsbehörde nach Vorlage der vollständigen Unterlagen durch den Zuwendungsempfänger. Der Verwendungsnachweis besteht aus dem Sachbericht und dem zahlenmäßigen Nachweis.</w:t>
      </w:r>
    </w:p>
    <w:p w14:paraId="367CBE4D" w14:textId="6164E0D6" w:rsidR="003D18AC" w:rsidRPr="00373DC2" w:rsidRDefault="003C5ECE" w:rsidP="009115CD">
      <w:pPr>
        <w:pStyle w:val="Textkrper"/>
        <w:spacing w:after="160" w:line="240" w:lineRule="auto"/>
        <w:rPr>
          <w:rFonts w:cstheme="minorHAnsi"/>
        </w:rPr>
      </w:pPr>
      <w:r w:rsidRPr="00373DC2">
        <w:rPr>
          <w:rFonts w:cstheme="minorHAnsi"/>
        </w:rPr>
        <w:t xml:space="preserve">(4) </w:t>
      </w:r>
      <w:r w:rsidR="003D18AC" w:rsidRPr="00373DC2">
        <w:rPr>
          <w:rFonts w:cstheme="minorHAnsi"/>
        </w:rPr>
        <w:t xml:space="preserve">Im Förderprogramm kann es auch zum Einsatz von EU-Mitteln kommen. In diesem Falle sind Bedienstete der </w:t>
      </w:r>
      <w:r w:rsidR="0034465B" w:rsidRPr="00373DC2">
        <w:rPr>
          <w:rFonts w:cstheme="minorHAnsi"/>
          <w:color w:val="000000" w:themeColor="text1"/>
        </w:rPr>
        <w:t>Europäischen Kommission</w:t>
      </w:r>
      <w:r w:rsidR="003D18AC" w:rsidRPr="00373DC2">
        <w:rPr>
          <w:rFonts w:cstheme="minorHAnsi"/>
        </w:rPr>
        <w:t>, des Europäischen Amtes für Betrugsbekämpfung (OLAF), des Europäischen Rechnungshofs und der Europäischen Staatsanwaltschaft (</w:t>
      </w:r>
      <w:proofErr w:type="spellStart"/>
      <w:r w:rsidR="003D18AC" w:rsidRPr="00373DC2">
        <w:rPr>
          <w:rFonts w:cstheme="minorHAnsi"/>
        </w:rPr>
        <w:t>EUStA</w:t>
      </w:r>
      <w:proofErr w:type="spellEnd"/>
      <w:r w:rsidR="003D18AC" w:rsidRPr="00373DC2">
        <w:rPr>
          <w:rFonts w:cstheme="minorHAnsi"/>
        </w:rPr>
        <w:t xml:space="preserve">) bzw. von diesen </w:t>
      </w:r>
      <w:r w:rsidR="003D18AC" w:rsidRPr="00373DC2">
        <w:rPr>
          <w:rFonts w:cstheme="minorHAnsi"/>
        </w:rPr>
        <w:lastRenderedPageBreak/>
        <w:t>Bevollmächtigte berechtigt, im Rahmen einer örtlichen Überprüfung, Grundstücke und Gebäude im erforderlichen Umfang zu betreten und alle für dieses Vorhaben relevanten Unterlagen einzusehen und Auskünfte zu verlangen.</w:t>
      </w:r>
      <w:r w:rsidR="00377E35" w:rsidRPr="00373DC2">
        <w:rPr>
          <w:rFonts w:cstheme="minorHAnsi"/>
        </w:rPr>
        <w:t xml:space="preserve"> Es gelten die jeweiligen Verpflichtungen zur Nutzung der spezifischen EU-Mitteln, insbesondere aus dem </w:t>
      </w:r>
      <w:r w:rsidR="00575836" w:rsidRPr="00373DC2">
        <w:rPr>
          <w:rFonts w:cstheme="minorHAnsi"/>
        </w:rPr>
        <w:t>D</w:t>
      </w:r>
      <w:r w:rsidR="00377E35" w:rsidRPr="00373DC2">
        <w:rPr>
          <w:rFonts w:cstheme="minorHAnsi"/>
        </w:rPr>
        <w:t>eutschen Aufbau- und Resilienzplan (DARP).</w:t>
      </w:r>
    </w:p>
    <w:p w14:paraId="0B02CCE7" w14:textId="46DCD1F7" w:rsidR="00C11F37" w:rsidRPr="00C11F37" w:rsidRDefault="009B4D84" w:rsidP="00504AB3">
      <w:pPr>
        <w:pStyle w:val="Textkrper"/>
        <w:spacing w:line="240" w:lineRule="auto"/>
        <w:rPr>
          <w:rFonts w:cstheme="minorHAnsi"/>
          <w:b/>
        </w:rPr>
      </w:pPr>
      <w:r>
        <w:rPr>
          <w:rFonts w:cstheme="minorHAnsi"/>
          <w:b/>
        </w:rPr>
        <w:t>12</w:t>
      </w:r>
      <w:r w:rsidR="00334DB9" w:rsidRPr="00373DC2">
        <w:rPr>
          <w:rFonts w:cstheme="minorHAnsi"/>
          <w:b/>
        </w:rPr>
        <w:t>.</w:t>
      </w:r>
      <w:r w:rsidR="003D5178" w:rsidRPr="00373DC2">
        <w:rPr>
          <w:rFonts w:cstheme="minorHAnsi"/>
          <w:b/>
        </w:rPr>
        <w:t>3</w:t>
      </w:r>
      <w:r w:rsidR="00C11F37" w:rsidRPr="00C11F37">
        <w:rPr>
          <w:rFonts w:cstheme="minorHAnsi"/>
          <w:b/>
        </w:rPr>
        <w:t xml:space="preserve"> Zusammenarbeit mit den Bundesländern</w:t>
      </w:r>
    </w:p>
    <w:p w14:paraId="73174562" w14:textId="28C51D42" w:rsidR="00C11F37" w:rsidRDefault="00C11F37" w:rsidP="00504AB3">
      <w:pPr>
        <w:pStyle w:val="Textkrper"/>
        <w:spacing w:line="240" w:lineRule="auto"/>
        <w:rPr>
          <w:rFonts w:cstheme="minorHAnsi"/>
        </w:rPr>
      </w:pPr>
      <w:r>
        <w:rPr>
          <w:rFonts w:cstheme="minorHAnsi"/>
        </w:rPr>
        <w:t>(1) Zur Durchführung der Kofinanzierung schließ</w:t>
      </w:r>
      <w:r w:rsidR="000A2A48">
        <w:rPr>
          <w:rFonts w:cstheme="minorHAnsi"/>
        </w:rPr>
        <w:t>t</w:t>
      </w:r>
      <w:r>
        <w:rPr>
          <w:rFonts w:cstheme="minorHAnsi"/>
        </w:rPr>
        <w:t xml:space="preserve"> das BMWK Verwaltungsvereinbarungen mit den Bundesländern.</w:t>
      </w:r>
    </w:p>
    <w:p w14:paraId="6CE48F66" w14:textId="206FC58D" w:rsidR="00C11F37" w:rsidRPr="00373DC2" w:rsidRDefault="00C11F37" w:rsidP="00504AB3">
      <w:pPr>
        <w:pStyle w:val="Textkrper"/>
        <w:spacing w:line="240" w:lineRule="auto"/>
        <w:rPr>
          <w:rFonts w:cstheme="minorHAnsi"/>
        </w:rPr>
      </w:pPr>
      <w:r>
        <w:rPr>
          <w:rFonts w:cstheme="minorHAnsi"/>
        </w:rPr>
        <w:t>(</w:t>
      </w:r>
      <w:r w:rsidR="00505843">
        <w:rPr>
          <w:rFonts w:cstheme="minorHAnsi"/>
        </w:rPr>
        <w:t>2</w:t>
      </w:r>
      <w:r>
        <w:rPr>
          <w:rFonts w:cstheme="minorHAnsi"/>
        </w:rPr>
        <w:t xml:space="preserve">) Bei </w:t>
      </w:r>
      <w:r w:rsidRPr="00373DC2">
        <w:rPr>
          <w:rFonts w:cstheme="minorHAnsi"/>
        </w:rPr>
        <w:t>Förderung auf Basis einer Kofinanzierung durch die Bundesländer</w:t>
      </w:r>
      <w:r>
        <w:rPr>
          <w:rFonts w:cstheme="minorHAnsi"/>
        </w:rPr>
        <w:t xml:space="preserve"> sind die zuständigen Behörden der Bundesländer und Landesrechnungshöfe berechtigt, die gleichen Recht</w:t>
      </w:r>
      <w:r w:rsidR="009A7F86">
        <w:rPr>
          <w:rFonts w:cstheme="minorHAnsi"/>
        </w:rPr>
        <w:t>e</w:t>
      </w:r>
      <w:r>
        <w:rPr>
          <w:rFonts w:cstheme="minorHAnsi"/>
        </w:rPr>
        <w:t xml:space="preserve"> wie in Ziffer </w:t>
      </w:r>
      <w:r w:rsidR="009B4D84">
        <w:rPr>
          <w:rFonts w:cstheme="minorHAnsi"/>
        </w:rPr>
        <w:t>12</w:t>
      </w:r>
      <w:r>
        <w:rPr>
          <w:rFonts w:cstheme="minorHAnsi"/>
        </w:rPr>
        <w:t xml:space="preserve">.2 Absatz </w:t>
      </w:r>
      <w:r w:rsidR="009A7F86">
        <w:rPr>
          <w:rFonts w:cstheme="minorHAnsi"/>
        </w:rPr>
        <w:t>2 und 3 auszuüben</w:t>
      </w:r>
      <w:r>
        <w:rPr>
          <w:rFonts w:cstheme="minorHAnsi"/>
        </w:rPr>
        <w:t xml:space="preserve">. </w:t>
      </w:r>
    </w:p>
    <w:p w14:paraId="6A9D6623" w14:textId="76A8ACD4" w:rsidR="00334DB9" w:rsidRPr="00373DC2" w:rsidRDefault="009B4D84" w:rsidP="009115CD">
      <w:pPr>
        <w:spacing w:line="240" w:lineRule="auto"/>
        <w:rPr>
          <w:rFonts w:cstheme="minorHAnsi"/>
          <w:b/>
        </w:rPr>
      </w:pPr>
      <w:r>
        <w:rPr>
          <w:rFonts w:cstheme="minorHAnsi"/>
          <w:b/>
        </w:rPr>
        <w:t>12</w:t>
      </w:r>
      <w:r w:rsidR="00334DB9" w:rsidRPr="00373DC2">
        <w:rPr>
          <w:rFonts w:cstheme="minorHAnsi"/>
          <w:b/>
        </w:rPr>
        <w:t>.</w:t>
      </w:r>
      <w:r w:rsidR="00C11F37">
        <w:rPr>
          <w:rFonts w:cstheme="minorHAnsi"/>
          <w:b/>
        </w:rPr>
        <w:t>4</w:t>
      </w:r>
      <w:r w:rsidR="00BD4A24" w:rsidRPr="00373DC2">
        <w:rPr>
          <w:rFonts w:cstheme="minorHAnsi"/>
          <w:b/>
        </w:rPr>
        <w:tab/>
      </w:r>
      <w:bookmarkStart w:id="53" w:name="_Hlk146035127"/>
      <w:r w:rsidR="00334DB9" w:rsidRPr="00373DC2">
        <w:rPr>
          <w:rFonts w:cstheme="minorHAnsi"/>
          <w:b/>
        </w:rPr>
        <w:t>Erfolgskontrolle, Monitoring</w:t>
      </w:r>
      <w:bookmarkEnd w:id="53"/>
    </w:p>
    <w:p w14:paraId="33644893" w14:textId="509E92ED" w:rsidR="00334DB9" w:rsidRPr="00373DC2" w:rsidRDefault="00334DB9" w:rsidP="00504AB3">
      <w:pPr>
        <w:pStyle w:val="Textkrper"/>
        <w:spacing w:line="240" w:lineRule="auto"/>
        <w:rPr>
          <w:rFonts w:cstheme="minorHAnsi"/>
        </w:rPr>
      </w:pPr>
      <w:r w:rsidRPr="00373DC2">
        <w:rPr>
          <w:rFonts w:cstheme="minorHAnsi"/>
        </w:rPr>
        <w:t xml:space="preserve">Im Laufe und nach Beendigung des Vorhabens hat der Antragsteller ein Monitoring bzw. eine Evaluation des geförderten Vorhabens durch ein fundiertes wissenschaftliches Überwachungssystem durchzuführen, um den Erfolg des Vorhabens zu dokumentieren und nachweisen zu können. Neben den Treibhausgasen sind dabei auch andere relevante Umweltaspekte sowie Energie- und Materialverbräuche zu berücksichtigen. Entsprechende Daten und Messberichte sind spätestens zusammen mit dem Abschlussbericht vorzulegen. Diese werden durch die Beauftragten des </w:t>
      </w:r>
      <w:r w:rsidR="00CC4B89" w:rsidRPr="00373DC2">
        <w:rPr>
          <w:rFonts w:cstheme="minorHAnsi"/>
        </w:rPr>
        <w:t>BMWK</w:t>
      </w:r>
      <w:r w:rsidRPr="00373DC2">
        <w:rPr>
          <w:rFonts w:cstheme="minorHAnsi"/>
        </w:rPr>
        <w:t xml:space="preserve"> geprüft.</w:t>
      </w:r>
      <w:r w:rsidR="002F5C85" w:rsidRPr="00373DC2">
        <w:rPr>
          <w:rFonts w:cstheme="minorHAnsi"/>
        </w:rPr>
        <w:t xml:space="preserve"> </w:t>
      </w:r>
      <w:r w:rsidRPr="00373DC2">
        <w:rPr>
          <w:rFonts w:cstheme="minorHAnsi"/>
        </w:rPr>
        <w:t>Ein entsprechendes Monitoring- und Evaluationskonzept ist mit der Antragstellung vorzulegen. Es obliegt dem Zuwendungsgeber, im Bescheid Auflagen zu diesen Konzepten zu erlassen. Reine Begleitforschungsvorhaben sind von diesen Bestimmungen ausgenommen.</w:t>
      </w:r>
    </w:p>
    <w:p w14:paraId="6388A518" w14:textId="77777777" w:rsidR="00090365" w:rsidRPr="00373DC2" w:rsidRDefault="00090365" w:rsidP="009115CD">
      <w:pPr>
        <w:pStyle w:val="Textkrper"/>
        <w:spacing w:after="160" w:line="240" w:lineRule="auto"/>
        <w:rPr>
          <w:rFonts w:cstheme="minorHAnsi"/>
        </w:rPr>
      </w:pPr>
    </w:p>
    <w:p w14:paraId="3A86851A" w14:textId="2546CFFD" w:rsidR="00334DB9" w:rsidRPr="00373DC2" w:rsidRDefault="009B4D84" w:rsidP="00504AB3">
      <w:pPr>
        <w:spacing w:line="240" w:lineRule="auto"/>
        <w:rPr>
          <w:rFonts w:cstheme="minorHAnsi"/>
          <w:b/>
        </w:rPr>
      </w:pPr>
      <w:r>
        <w:rPr>
          <w:rFonts w:cstheme="minorHAnsi"/>
          <w:b/>
        </w:rPr>
        <w:t>13</w:t>
      </w:r>
      <w:r w:rsidR="004D1177" w:rsidRPr="00373DC2">
        <w:rPr>
          <w:rFonts w:cstheme="minorHAnsi"/>
          <w:b/>
        </w:rPr>
        <w:t xml:space="preserve"> </w:t>
      </w:r>
      <w:r w:rsidR="00334DB9" w:rsidRPr="00373DC2">
        <w:rPr>
          <w:rFonts w:cstheme="minorHAnsi"/>
          <w:b/>
        </w:rPr>
        <w:t>Geltungsdauer</w:t>
      </w:r>
    </w:p>
    <w:p w14:paraId="6A8D4740" w14:textId="4C06B757" w:rsidR="009A620C" w:rsidRDefault="00334DB9" w:rsidP="008D7820">
      <w:pPr>
        <w:pStyle w:val="Textkrper"/>
        <w:numPr>
          <w:ilvl w:val="0"/>
          <w:numId w:val="48"/>
        </w:numPr>
        <w:spacing w:line="240" w:lineRule="auto"/>
        <w:rPr>
          <w:rFonts w:cstheme="minorHAnsi"/>
        </w:rPr>
      </w:pPr>
      <w:r w:rsidRPr="009A620C">
        <w:rPr>
          <w:rFonts w:cstheme="minorHAnsi"/>
        </w:rPr>
        <w:t xml:space="preserve">Diese </w:t>
      </w:r>
      <w:r w:rsidR="00A91737" w:rsidRPr="009A620C">
        <w:rPr>
          <w:rFonts w:cstheme="minorHAnsi"/>
        </w:rPr>
        <w:t>Förderr</w:t>
      </w:r>
      <w:r w:rsidRPr="009A620C">
        <w:rPr>
          <w:rFonts w:cstheme="minorHAnsi"/>
        </w:rPr>
        <w:t xml:space="preserve">ichtlinie tritt mit Wirkung vom </w:t>
      </w:r>
      <w:r w:rsidR="00AE4787" w:rsidRPr="009A620C">
        <w:rPr>
          <w:rFonts w:cstheme="minorHAnsi"/>
        </w:rPr>
        <w:t>1</w:t>
      </w:r>
      <w:r w:rsidRPr="009A620C">
        <w:rPr>
          <w:rFonts w:cstheme="minorHAnsi"/>
        </w:rPr>
        <w:t xml:space="preserve">. </w:t>
      </w:r>
      <w:r w:rsidR="00AE4787" w:rsidRPr="009A620C">
        <w:rPr>
          <w:rFonts w:cstheme="minorHAnsi"/>
        </w:rPr>
        <w:t>Januar</w:t>
      </w:r>
      <w:r w:rsidR="00E50F38" w:rsidRPr="009A620C">
        <w:rPr>
          <w:rFonts w:cstheme="minorHAnsi"/>
        </w:rPr>
        <w:t xml:space="preserve"> </w:t>
      </w:r>
      <w:r w:rsidR="00AE4787" w:rsidRPr="009A620C">
        <w:rPr>
          <w:rFonts w:cstheme="minorHAnsi"/>
        </w:rPr>
        <w:t>202</w:t>
      </w:r>
      <w:r w:rsidR="00705682" w:rsidRPr="009A620C">
        <w:rPr>
          <w:rFonts w:cstheme="minorHAnsi"/>
        </w:rPr>
        <w:t>4</w:t>
      </w:r>
      <w:r w:rsidR="00AE4787" w:rsidRPr="009A620C">
        <w:rPr>
          <w:rFonts w:cstheme="minorHAnsi"/>
        </w:rPr>
        <w:t xml:space="preserve"> </w:t>
      </w:r>
      <w:r w:rsidRPr="009A620C">
        <w:rPr>
          <w:rFonts w:cstheme="minorHAnsi"/>
        </w:rPr>
        <w:t>in Kraft.</w:t>
      </w:r>
    </w:p>
    <w:p w14:paraId="6996D00C" w14:textId="7F9F3073" w:rsidR="009A620C" w:rsidRDefault="00A91737" w:rsidP="008D7820">
      <w:pPr>
        <w:pStyle w:val="Textkrper"/>
        <w:numPr>
          <w:ilvl w:val="0"/>
          <w:numId w:val="48"/>
        </w:numPr>
        <w:spacing w:line="240" w:lineRule="auto"/>
        <w:rPr>
          <w:rFonts w:cstheme="minorHAnsi"/>
        </w:rPr>
      </w:pPr>
      <w:r w:rsidRPr="009A620C">
        <w:rPr>
          <w:rFonts w:cstheme="minorHAnsi"/>
        </w:rPr>
        <w:t xml:space="preserve">Diese Förderrichtlinie ersetzt </w:t>
      </w:r>
      <w:r w:rsidR="001543DD" w:rsidRPr="009A620C">
        <w:rPr>
          <w:rFonts w:cstheme="minorHAnsi"/>
        </w:rPr>
        <w:t xml:space="preserve">in Ziffer 5 (Modul 1) </w:t>
      </w:r>
      <w:r w:rsidRPr="009A620C">
        <w:rPr>
          <w:rFonts w:cstheme="minorHAnsi"/>
        </w:rPr>
        <w:t>die Förderrichtlinie zur Dekarbonisierung in der Industrie vom 16. Dezember 2020</w:t>
      </w:r>
      <w:r w:rsidRPr="00373DC2">
        <w:rPr>
          <w:rStyle w:val="Funotenzeichen"/>
          <w:rFonts w:cstheme="minorHAnsi"/>
        </w:rPr>
        <w:footnoteReference w:id="21"/>
      </w:r>
      <w:r w:rsidRPr="009A620C">
        <w:rPr>
          <w:rFonts w:cstheme="minorHAnsi"/>
        </w:rPr>
        <w:t xml:space="preserve"> </w:t>
      </w:r>
      <w:r w:rsidR="001543DD" w:rsidRPr="009A620C">
        <w:rPr>
          <w:rFonts w:cstheme="minorHAnsi"/>
        </w:rPr>
        <w:t>mit Wirkung vom 1. Januar 2024. Förderanträge nach der Förderrichtlinie zur Dekarbonisierung in der Industrie vom 16. Dezember 2020 können nur bis 31. Dezember 2023 gestellt werden</w:t>
      </w:r>
      <w:r w:rsidR="00A5358E" w:rsidRPr="009A620C">
        <w:rPr>
          <w:rFonts w:cstheme="minorHAnsi"/>
        </w:rPr>
        <w:t xml:space="preserve"> (Ausschlussfrist)</w:t>
      </w:r>
      <w:r w:rsidR="001771EF">
        <w:rPr>
          <w:rFonts w:cstheme="minorHAnsi"/>
        </w:rPr>
        <w:t>.</w:t>
      </w:r>
      <w:r w:rsidR="001543DD" w:rsidRPr="009A620C">
        <w:rPr>
          <w:rFonts w:cstheme="minorHAnsi"/>
        </w:rPr>
        <w:t xml:space="preserve"> </w:t>
      </w:r>
      <w:r w:rsidR="001771EF">
        <w:rPr>
          <w:rFonts w:cstheme="minorHAnsi"/>
        </w:rPr>
        <w:t>E</w:t>
      </w:r>
      <w:r w:rsidR="00126F33" w:rsidRPr="009A620C">
        <w:rPr>
          <w:rFonts w:cstheme="minorHAnsi"/>
        </w:rPr>
        <w:t xml:space="preserve">ine Bescheidung ist nur bis 31.3.2024 </w:t>
      </w:r>
      <w:r w:rsidR="00251E6C">
        <w:rPr>
          <w:rFonts w:cstheme="minorHAnsi"/>
        </w:rPr>
        <w:t xml:space="preserve">unter den Voraussetzungen von Artikel 58 AGVO </w:t>
      </w:r>
      <w:r w:rsidR="00126F33" w:rsidRPr="009A620C">
        <w:rPr>
          <w:rFonts w:cstheme="minorHAnsi"/>
        </w:rPr>
        <w:t>möglich,</w:t>
      </w:r>
      <w:r w:rsidR="001543DD" w:rsidRPr="009A620C">
        <w:rPr>
          <w:rFonts w:cstheme="minorHAnsi"/>
        </w:rPr>
        <w:t xml:space="preserve"> die Umsetzung der Vorhaben und die Auszahlung der Zuwendungen können auch nach </w:t>
      </w:r>
      <w:r w:rsidR="00F51327" w:rsidRPr="009A620C">
        <w:rPr>
          <w:rFonts w:cstheme="minorHAnsi"/>
        </w:rPr>
        <w:t>dem 1. Januar 2024</w:t>
      </w:r>
      <w:r w:rsidR="001543DD" w:rsidRPr="009A620C">
        <w:rPr>
          <w:rFonts w:cstheme="minorHAnsi"/>
        </w:rPr>
        <w:t xml:space="preserve"> erfolgen.</w:t>
      </w:r>
    </w:p>
    <w:p w14:paraId="36A35FA5" w14:textId="271254D1" w:rsidR="009A620C" w:rsidRDefault="006D1578" w:rsidP="008D7820">
      <w:pPr>
        <w:pStyle w:val="Textkrper"/>
        <w:numPr>
          <w:ilvl w:val="0"/>
          <w:numId w:val="48"/>
        </w:numPr>
        <w:spacing w:line="240" w:lineRule="auto"/>
        <w:rPr>
          <w:rFonts w:cstheme="minorHAnsi"/>
        </w:rPr>
      </w:pPr>
      <w:r w:rsidRPr="00287B33">
        <w:rPr>
          <w:rFonts w:cstheme="minorHAnsi"/>
        </w:rPr>
        <w:t xml:space="preserve">Übersteigt die </w:t>
      </w:r>
      <w:r w:rsidR="00287B33">
        <w:rPr>
          <w:rFonts w:cstheme="minorHAnsi"/>
        </w:rPr>
        <w:t xml:space="preserve">durchschnittliche </w:t>
      </w:r>
      <w:r w:rsidRPr="00287B33">
        <w:rPr>
          <w:rFonts w:cstheme="minorHAnsi"/>
        </w:rPr>
        <w:t xml:space="preserve">jährliche Mittelausstattung von Ziffer 5 Modul 1 und 3 sowie Ziffer 6 </w:t>
      </w:r>
      <w:r w:rsidR="00287B33">
        <w:rPr>
          <w:rFonts w:cstheme="minorHAnsi"/>
        </w:rPr>
        <w:t xml:space="preserve">insgesamt </w:t>
      </w:r>
      <w:r w:rsidRPr="00287B33">
        <w:rPr>
          <w:rFonts w:cstheme="minorHAnsi"/>
        </w:rPr>
        <w:t xml:space="preserve">150 Millionen Euro, legt das BMWK der Europäischen Kommission innerhalb von 20 Arbeitstagen nach Inkrafttreten dieser Richtlinie gemäß Artikel 1 Absatz 2 </w:t>
      </w:r>
      <w:proofErr w:type="spellStart"/>
      <w:r w:rsidRPr="00287B33">
        <w:rPr>
          <w:rFonts w:cstheme="minorHAnsi"/>
        </w:rPr>
        <w:t>lit</w:t>
      </w:r>
      <w:proofErr w:type="spellEnd"/>
      <w:r w:rsidRPr="00287B33">
        <w:rPr>
          <w:rFonts w:cstheme="minorHAnsi"/>
        </w:rPr>
        <w:t>. a) AGVO einen Evaluierungsplan vor</w:t>
      </w:r>
      <w:r w:rsidR="00287B33">
        <w:rPr>
          <w:rFonts w:cstheme="minorHAnsi"/>
        </w:rPr>
        <w:t xml:space="preserve">; genehmigt die Europäische Kommission den Evaluierungsplan nicht, tritt die Richtlinie sechs Monate nach Inkrafttreten insoweit außer Kraft. </w:t>
      </w:r>
      <w:r w:rsidR="001543DD" w:rsidRPr="009A620C">
        <w:rPr>
          <w:rFonts w:cstheme="minorHAnsi"/>
        </w:rPr>
        <w:t>D</w:t>
      </w:r>
      <w:r w:rsidR="00334DB9" w:rsidRPr="009A620C">
        <w:rPr>
          <w:rFonts w:cstheme="minorHAnsi"/>
        </w:rPr>
        <w:t xml:space="preserve">iese Förderrichtlinie </w:t>
      </w:r>
      <w:r w:rsidR="001543DD" w:rsidRPr="009A620C">
        <w:rPr>
          <w:rFonts w:cstheme="minorHAnsi"/>
        </w:rPr>
        <w:t>tritt sechs Monate nach Auslaufen der</w:t>
      </w:r>
      <w:r w:rsidR="00334DB9" w:rsidRPr="009A620C">
        <w:rPr>
          <w:rFonts w:cstheme="minorHAnsi"/>
        </w:rPr>
        <w:t xml:space="preserve"> AGVO</w:t>
      </w:r>
      <w:r w:rsidR="001543DD" w:rsidRPr="009A620C">
        <w:rPr>
          <w:rFonts w:cstheme="minorHAnsi"/>
        </w:rPr>
        <w:t xml:space="preserve"> außer Kraft</w:t>
      </w:r>
      <w:r w:rsidR="00334DB9" w:rsidRPr="009A620C">
        <w:rPr>
          <w:rFonts w:cstheme="minorHAnsi"/>
        </w:rPr>
        <w:t>. Sollte die zeitliche Anwendung der AGVO ohne die Förderrichtlinie</w:t>
      </w:r>
      <w:r w:rsidR="00824952" w:rsidRPr="009A620C">
        <w:rPr>
          <w:rFonts w:cstheme="minorHAnsi"/>
        </w:rPr>
        <w:t xml:space="preserve"> </w:t>
      </w:r>
      <w:r w:rsidR="00334DB9" w:rsidRPr="009A620C">
        <w:rPr>
          <w:rFonts w:cstheme="minorHAnsi"/>
        </w:rPr>
        <w:t>betreffende relevante inhaltliche Veränderungen verlängert werden, verlängert sich die Laufzeit dieser Förderrichtlinie</w:t>
      </w:r>
      <w:r w:rsidR="00824952" w:rsidRPr="009A620C">
        <w:rPr>
          <w:rFonts w:cstheme="minorHAnsi"/>
        </w:rPr>
        <w:t xml:space="preserve"> </w:t>
      </w:r>
      <w:r w:rsidR="00334DB9" w:rsidRPr="009A620C">
        <w:rPr>
          <w:rFonts w:cstheme="minorHAnsi"/>
        </w:rPr>
        <w:t>entsprechend, aber nicht über den 31. Dezember 2030 hinaus.</w:t>
      </w:r>
    </w:p>
    <w:p w14:paraId="55AD0425" w14:textId="722540FE" w:rsidR="00334DB9" w:rsidRPr="009A620C" w:rsidRDefault="00334DB9" w:rsidP="006C73C0">
      <w:pPr>
        <w:pStyle w:val="Textkrper"/>
        <w:numPr>
          <w:ilvl w:val="0"/>
          <w:numId w:val="48"/>
        </w:numPr>
        <w:spacing w:line="240" w:lineRule="auto"/>
        <w:rPr>
          <w:rFonts w:cstheme="minorHAnsi"/>
        </w:rPr>
      </w:pPr>
      <w:r w:rsidRPr="009A620C">
        <w:rPr>
          <w:rFonts w:cstheme="minorHAnsi"/>
        </w:rPr>
        <w:t xml:space="preserve">Die Umsetzung der </w:t>
      </w:r>
      <w:r w:rsidR="00F03541" w:rsidRPr="009A620C">
        <w:rPr>
          <w:rFonts w:cstheme="minorHAnsi"/>
        </w:rPr>
        <w:t xml:space="preserve">Vorhaben </w:t>
      </w:r>
      <w:r w:rsidRPr="009A620C">
        <w:rPr>
          <w:rFonts w:cstheme="minorHAnsi"/>
        </w:rPr>
        <w:t>und</w:t>
      </w:r>
      <w:r w:rsidR="00824952" w:rsidRPr="009A620C">
        <w:rPr>
          <w:rFonts w:cstheme="minorHAnsi"/>
        </w:rPr>
        <w:t xml:space="preserve"> </w:t>
      </w:r>
      <w:r w:rsidRPr="009A620C">
        <w:rPr>
          <w:rFonts w:cstheme="minorHAnsi"/>
        </w:rPr>
        <w:t>die Auszahlung der Zuwendungen können auch nach Ablauf der Richtlinie erfolgen.</w:t>
      </w:r>
      <w:r w:rsidR="001771EF">
        <w:rPr>
          <w:rFonts w:cstheme="minorHAnsi"/>
        </w:rPr>
        <w:t xml:space="preserve"> Ziffer 5.3.2 Abs. 5 bleibt davon unberührt.</w:t>
      </w:r>
    </w:p>
    <w:p w14:paraId="2AA438E8" w14:textId="00D50F0A" w:rsidR="00334DB9" w:rsidRPr="00373DC2" w:rsidRDefault="00334DB9" w:rsidP="00504AB3">
      <w:pPr>
        <w:pStyle w:val="Bezugszeichentext"/>
        <w:spacing w:line="240" w:lineRule="auto"/>
        <w:rPr>
          <w:rFonts w:cstheme="minorHAnsi"/>
        </w:rPr>
      </w:pPr>
      <w:r w:rsidRPr="00373DC2">
        <w:rPr>
          <w:rFonts w:cstheme="minorHAnsi"/>
        </w:rPr>
        <w:t xml:space="preserve">Berlin, den </w:t>
      </w:r>
      <w:r w:rsidR="00E50F38" w:rsidRPr="00373DC2">
        <w:rPr>
          <w:rFonts w:cstheme="minorHAnsi"/>
          <w:highlight w:val="yellow"/>
        </w:rPr>
        <w:t>XX</w:t>
      </w:r>
      <w:r w:rsidRPr="00373DC2">
        <w:rPr>
          <w:rFonts w:cstheme="minorHAnsi"/>
          <w:highlight w:val="yellow"/>
        </w:rPr>
        <w:t xml:space="preserve">. </w:t>
      </w:r>
      <w:r w:rsidR="00E50F38" w:rsidRPr="00373DC2">
        <w:rPr>
          <w:rFonts w:cstheme="minorHAnsi"/>
          <w:highlight w:val="yellow"/>
        </w:rPr>
        <w:t>XX. 202</w:t>
      </w:r>
      <w:r w:rsidR="00A7034F" w:rsidRPr="00373DC2">
        <w:rPr>
          <w:rFonts w:cstheme="minorHAnsi"/>
          <w:highlight w:val="yellow"/>
        </w:rPr>
        <w:t>3</w:t>
      </w:r>
    </w:p>
    <w:p w14:paraId="7927D42D" w14:textId="77777777" w:rsidR="00334DB9" w:rsidRPr="00373DC2" w:rsidRDefault="00334DB9" w:rsidP="00504AB3">
      <w:pPr>
        <w:pStyle w:val="Betreffzeile"/>
        <w:spacing w:line="240" w:lineRule="auto"/>
        <w:jc w:val="center"/>
        <w:rPr>
          <w:rFonts w:cstheme="minorHAnsi"/>
        </w:rPr>
      </w:pPr>
      <w:r w:rsidRPr="00373DC2">
        <w:rPr>
          <w:rFonts w:cstheme="minorHAnsi"/>
        </w:rPr>
        <w:t>Bundesministerium</w:t>
      </w:r>
    </w:p>
    <w:p w14:paraId="04171249" w14:textId="77777777" w:rsidR="00CD25F7" w:rsidRPr="00373DC2" w:rsidRDefault="00334DB9" w:rsidP="00504AB3">
      <w:pPr>
        <w:pStyle w:val="Textkrper"/>
        <w:spacing w:line="240" w:lineRule="auto"/>
        <w:jc w:val="center"/>
        <w:rPr>
          <w:rFonts w:cstheme="minorHAnsi"/>
        </w:rPr>
      </w:pPr>
      <w:r w:rsidRPr="00373DC2">
        <w:rPr>
          <w:rFonts w:cstheme="minorHAnsi"/>
        </w:rPr>
        <w:lastRenderedPageBreak/>
        <w:t xml:space="preserve">für </w:t>
      </w:r>
      <w:r w:rsidR="00E50F38" w:rsidRPr="00373DC2">
        <w:rPr>
          <w:rFonts w:cstheme="minorHAnsi"/>
        </w:rPr>
        <w:t>Wirtschaft und Klimaschutz</w:t>
      </w:r>
    </w:p>
    <w:p w14:paraId="10714DD2" w14:textId="69733722" w:rsidR="00334DB9" w:rsidRPr="00373DC2" w:rsidRDefault="00334DB9" w:rsidP="00504AB3">
      <w:pPr>
        <w:pStyle w:val="Textkrper"/>
        <w:spacing w:line="240" w:lineRule="auto"/>
        <w:jc w:val="center"/>
        <w:rPr>
          <w:rFonts w:cstheme="minorHAnsi"/>
        </w:rPr>
      </w:pPr>
      <w:r w:rsidRPr="00373DC2">
        <w:rPr>
          <w:rFonts w:cstheme="minorHAnsi"/>
        </w:rPr>
        <w:t>Im Auftrag</w:t>
      </w:r>
    </w:p>
    <w:p w14:paraId="65C33639" w14:textId="0855E0B2" w:rsidR="00334DB9" w:rsidRPr="00373DC2" w:rsidRDefault="00F03541" w:rsidP="00504AB3">
      <w:pPr>
        <w:pStyle w:val="Textkrper"/>
        <w:spacing w:line="240" w:lineRule="auto"/>
        <w:jc w:val="center"/>
        <w:rPr>
          <w:rFonts w:cstheme="minorHAnsi"/>
        </w:rPr>
      </w:pPr>
      <w:r w:rsidRPr="00373DC2">
        <w:rPr>
          <w:rFonts w:cstheme="minorHAnsi"/>
        </w:rPr>
        <w:t xml:space="preserve"> Bernhard Kluttig</w:t>
      </w:r>
    </w:p>
    <w:p w14:paraId="2CCDD3CD" w14:textId="6F432F7F" w:rsidR="00753FB4" w:rsidRPr="00373DC2" w:rsidRDefault="00753FB4" w:rsidP="00504AB3">
      <w:pPr>
        <w:pStyle w:val="Textkrper"/>
        <w:spacing w:line="240" w:lineRule="auto"/>
        <w:rPr>
          <w:rFonts w:cstheme="minorHAnsi"/>
        </w:rPr>
      </w:pPr>
    </w:p>
    <w:p w14:paraId="7F820BAD" w14:textId="77777777" w:rsidR="00753FB4" w:rsidRPr="00373DC2" w:rsidRDefault="00753FB4" w:rsidP="00504AB3">
      <w:pPr>
        <w:pStyle w:val="Textkrper"/>
        <w:spacing w:line="240" w:lineRule="auto"/>
        <w:jc w:val="center"/>
        <w:rPr>
          <w:rFonts w:cstheme="minorHAnsi"/>
        </w:rPr>
      </w:pPr>
    </w:p>
    <w:sectPr w:rsidR="00753FB4" w:rsidRPr="00373DC2" w:rsidSect="004170E2">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75BC" w14:textId="77777777" w:rsidR="00745B78" w:rsidRDefault="00745B78" w:rsidP="00334DB9">
      <w:pPr>
        <w:spacing w:after="0" w:line="240" w:lineRule="auto"/>
      </w:pPr>
      <w:r>
        <w:separator/>
      </w:r>
    </w:p>
  </w:endnote>
  <w:endnote w:type="continuationSeparator" w:id="0">
    <w:p w14:paraId="485D3532" w14:textId="77777777" w:rsidR="00745B78" w:rsidRDefault="00745B78" w:rsidP="00334DB9">
      <w:pPr>
        <w:spacing w:after="0" w:line="240" w:lineRule="auto"/>
      </w:pPr>
      <w:r>
        <w:continuationSeparator/>
      </w:r>
    </w:p>
  </w:endnote>
  <w:endnote w:type="continuationNotice" w:id="1">
    <w:p w14:paraId="2496B89B" w14:textId="77777777" w:rsidR="00745B78" w:rsidRDefault="00745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138553"/>
      <w:docPartObj>
        <w:docPartGallery w:val="Page Numbers (Bottom of Page)"/>
        <w:docPartUnique/>
      </w:docPartObj>
    </w:sdtPr>
    <w:sdtEndPr/>
    <w:sdtContent>
      <w:p w14:paraId="172AC4D9" w14:textId="31BBD1C0" w:rsidR="00745B78" w:rsidRDefault="00745B78">
        <w:pPr>
          <w:pStyle w:val="Fuzeile"/>
          <w:jc w:val="center"/>
        </w:pPr>
        <w:r>
          <w:fldChar w:fldCharType="begin"/>
        </w:r>
        <w:r>
          <w:instrText>PAGE   \* MERGEFORMAT</w:instrText>
        </w:r>
        <w:r>
          <w:fldChar w:fldCharType="separate"/>
        </w:r>
        <w:r>
          <w:t>2</w:t>
        </w:r>
        <w:r>
          <w:fldChar w:fldCharType="end"/>
        </w:r>
      </w:p>
    </w:sdtContent>
  </w:sdt>
  <w:p w14:paraId="5A90B214" w14:textId="77777777" w:rsidR="00745B78" w:rsidRDefault="00745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694D" w14:textId="77777777" w:rsidR="00745B78" w:rsidRDefault="00745B78" w:rsidP="00334DB9">
      <w:pPr>
        <w:spacing w:after="0" w:line="240" w:lineRule="auto"/>
      </w:pPr>
      <w:r>
        <w:separator/>
      </w:r>
    </w:p>
  </w:footnote>
  <w:footnote w:type="continuationSeparator" w:id="0">
    <w:p w14:paraId="0DEB9F2E" w14:textId="77777777" w:rsidR="00745B78" w:rsidRDefault="00745B78" w:rsidP="00334DB9">
      <w:pPr>
        <w:spacing w:after="0" w:line="240" w:lineRule="auto"/>
      </w:pPr>
      <w:r>
        <w:continuationSeparator/>
      </w:r>
    </w:p>
  </w:footnote>
  <w:footnote w:type="continuationNotice" w:id="1">
    <w:p w14:paraId="5B7E851E" w14:textId="77777777" w:rsidR="00745B78" w:rsidRDefault="00745B78">
      <w:pPr>
        <w:spacing w:after="0" w:line="240" w:lineRule="auto"/>
      </w:pPr>
    </w:p>
  </w:footnote>
  <w:footnote w:id="2">
    <w:p w14:paraId="7ED45156" w14:textId="77777777" w:rsidR="00745B78" w:rsidRDefault="00745B78" w:rsidP="00B575A9">
      <w:pPr>
        <w:pStyle w:val="title-fam-member-star"/>
        <w:spacing w:before="0" w:beforeAutospacing="0" w:after="0" w:afterAutospacing="0"/>
        <w:rPr>
          <w:rFonts w:asciiTheme="minorHAnsi" w:hAnsiTheme="minorHAnsi" w:cstheme="minorBidi"/>
          <w:sz w:val="20"/>
          <w:szCs w:val="20"/>
        </w:rPr>
      </w:pPr>
      <w:r w:rsidRPr="005F43F9">
        <w:rPr>
          <w:rStyle w:val="Funotenzeichen"/>
          <w:rFonts w:asciiTheme="minorHAnsi" w:eastAsiaTheme="minorEastAsia" w:hAnsiTheme="minorHAnsi" w:cstheme="minorBidi"/>
          <w:sz w:val="20"/>
          <w:szCs w:val="20"/>
          <w:lang w:eastAsia="zh-CN"/>
        </w:rPr>
        <w:footnoteRef/>
      </w:r>
      <w:r w:rsidRPr="005F43F9">
        <w:rPr>
          <w:rStyle w:val="Funotenzeichen"/>
          <w:rFonts w:asciiTheme="minorHAnsi" w:eastAsiaTheme="minorEastAsia" w:hAnsiTheme="minorHAnsi" w:cstheme="minorBidi"/>
          <w:sz w:val="20"/>
          <w:szCs w:val="20"/>
          <w:lang w:eastAsia="zh-CN"/>
        </w:rPr>
        <w:t xml:space="preserve"> </w:t>
      </w:r>
      <w:r w:rsidRPr="00445167">
        <w:rPr>
          <w:rFonts w:asciiTheme="minorHAnsi" w:hAnsiTheme="minorHAnsi" w:cstheme="minorBidi"/>
          <w:sz w:val="20"/>
          <w:szCs w:val="20"/>
        </w:rPr>
        <w:t xml:space="preserve">Verordnung (EU) 2018/842 vom 30. Mai 2018 </w:t>
      </w:r>
      <w:r>
        <w:rPr>
          <w:rFonts w:asciiTheme="minorHAnsi" w:hAnsiTheme="minorHAnsi" w:cstheme="minorBidi"/>
          <w:sz w:val="20"/>
          <w:szCs w:val="20"/>
        </w:rPr>
        <w:t>(</w:t>
      </w:r>
      <w:proofErr w:type="spellStart"/>
      <w:r w:rsidRPr="00445167">
        <w:rPr>
          <w:rFonts w:asciiTheme="minorHAnsi" w:hAnsiTheme="minorHAnsi" w:cstheme="minorBidi"/>
          <w:sz w:val="20"/>
          <w:szCs w:val="20"/>
        </w:rPr>
        <w:t>ABl.</w:t>
      </w:r>
      <w:proofErr w:type="spellEnd"/>
      <w:r w:rsidRPr="00445167">
        <w:rPr>
          <w:rFonts w:asciiTheme="minorHAnsi" w:hAnsiTheme="minorHAnsi" w:cstheme="minorBidi"/>
          <w:sz w:val="20"/>
          <w:szCs w:val="20"/>
        </w:rPr>
        <w:t xml:space="preserve"> L 156 vom 19. Juni 2018, S. 26), geändert durch</w:t>
      </w:r>
      <w:r>
        <w:rPr>
          <w:rFonts w:asciiTheme="minorHAnsi" w:hAnsiTheme="minorHAnsi" w:cstheme="minorBidi"/>
          <w:sz w:val="20"/>
          <w:szCs w:val="20"/>
        </w:rPr>
        <w:t xml:space="preserve">  </w:t>
      </w:r>
    </w:p>
    <w:p w14:paraId="5B813AEF" w14:textId="07B9F0C9" w:rsidR="00745B78" w:rsidRPr="00445167" w:rsidRDefault="00745B78" w:rsidP="00B575A9">
      <w:pPr>
        <w:pStyle w:val="title-fam-member-star"/>
        <w:spacing w:before="0" w:beforeAutospacing="0" w:after="0" w:afterAutospacing="0"/>
        <w:rPr>
          <w:rFonts w:asciiTheme="minorHAnsi" w:hAnsiTheme="minorHAnsi" w:cstheme="minorBidi"/>
          <w:sz w:val="20"/>
          <w:szCs w:val="20"/>
        </w:rPr>
      </w:pPr>
      <w:r>
        <w:rPr>
          <w:rFonts w:asciiTheme="minorHAnsi" w:hAnsiTheme="minorHAnsi" w:cstheme="minorBidi"/>
          <w:sz w:val="20"/>
          <w:szCs w:val="20"/>
        </w:rPr>
        <w:t xml:space="preserve">  Verordnung </w:t>
      </w:r>
      <w:r w:rsidRPr="00445167">
        <w:rPr>
          <w:rFonts w:asciiTheme="minorHAnsi" w:hAnsiTheme="minorHAnsi" w:cstheme="minorBidi"/>
          <w:sz w:val="20"/>
          <w:szCs w:val="20"/>
        </w:rPr>
        <w:t>(EU) 2023/857 vom 19. April 2023</w:t>
      </w:r>
      <w:r>
        <w:rPr>
          <w:rFonts w:asciiTheme="minorHAnsi" w:hAnsiTheme="minorHAnsi" w:cstheme="minorBidi"/>
          <w:sz w:val="20"/>
          <w:szCs w:val="20"/>
        </w:rPr>
        <w:t xml:space="preserve"> (</w:t>
      </w:r>
      <w:proofErr w:type="spellStart"/>
      <w:r w:rsidRPr="00445167">
        <w:rPr>
          <w:rFonts w:asciiTheme="minorHAnsi" w:hAnsiTheme="minorHAnsi" w:cstheme="minorBidi"/>
          <w:sz w:val="20"/>
          <w:szCs w:val="20"/>
        </w:rPr>
        <w:t>ABl.</w:t>
      </w:r>
      <w:proofErr w:type="spellEnd"/>
      <w:r w:rsidRPr="00445167">
        <w:rPr>
          <w:rFonts w:asciiTheme="minorHAnsi" w:hAnsiTheme="minorHAnsi" w:cstheme="minorBidi"/>
          <w:sz w:val="20"/>
          <w:szCs w:val="20"/>
        </w:rPr>
        <w:t xml:space="preserve"> </w:t>
      </w:r>
      <w:r w:rsidRPr="00445167">
        <w:rPr>
          <w:rFonts w:asciiTheme="minorHAnsi" w:hAnsiTheme="minorHAnsi" w:cstheme="minorBidi"/>
          <w:iCs/>
          <w:sz w:val="20"/>
          <w:szCs w:val="20"/>
        </w:rPr>
        <w:t>L 111 vom 26. April 2023, S. 1</w:t>
      </w:r>
      <w:r w:rsidRPr="00445167">
        <w:rPr>
          <w:rFonts w:asciiTheme="minorHAnsi" w:hAnsiTheme="minorHAnsi" w:cstheme="minorBidi"/>
          <w:i/>
          <w:iCs/>
          <w:sz w:val="20"/>
          <w:szCs w:val="20"/>
        </w:rPr>
        <w:t>).</w:t>
      </w:r>
      <w:r w:rsidRPr="00445167">
        <w:rPr>
          <w:rFonts w:asciiTheme="minorHAnsi" w:hAnsiTheme="minorHAnsi" w:cstheme="minorBidi"/>
          <w:sz w:val="20"/>
          <w:szCs w:val="20"/>
        </w:rPr>
        <w:t xml:space="preserve"> </w:t>
      </w:r>
    </w:p>
  </w:footnote>
  <w:footnote w:id="3">
    <w:p w14:paraId="3EA6C975" w14:textId="77777777" w:rsidR="00745B78" w:rsidRDefault="00745B78">
      <w:pPr>
        <w:pStyle w:val="Funotentext"/>
        <w:rPr>
          <w:rFonts w:eastAsia="Times New Roman"/>
          <w:lang w:eastAsia="de-DE"/>
        </w:rPr>
      </w:pPr>
      <w:r>
        <w:rPr>
          <w:rStyle w:val="Funotenzeichen"/>
        </w:rPr>
        <w:footnoteRef/>
      </w:r>
      <w:r w:rsidRPr="005F43F9">
        <w:rPr>
          <w:rStyle w:val="Funotenzeichen"/>
        </w:rPr>
        <w:t xml:space="preserve"> </w:t>
      </w:r>
      <w:r w:rsidRPr="00B575A9">
        <w:rPr>
          <w:rFonts w:eastAsia="Times New Roman"/>
          <w:lang w:eastAsia="de-DE"/>
        </w:rPr>
        <w:t>Richtlinie 2003/87/EG vom 13. Oktober 2003, (</w:t>
      </w:r>
      <w:proofErr w:type="spellStart"/>
      <w:r w:rsidRPr="00B575A9">
        <w:rPr>
          <w:rFonts w:eastAsia="Times New Roman"/>
          <w:lang w:eastAsia="de-DE"/>
        </w:rPr>
        <w:t>ABl.</w:t>
      </w:r>
      <w:proofErr w:type="spellEnd"/>
      <w:r w:rsidRPr="00B575A9">
        <w:rPr>
          <w:rFonts w:eastAsia="Times New Roman"/>
          <w:lang w:eastAsia="de-DE"/>
        </w:rPr>
        <w:t xml:space="preserve"> L 275 vom 25.10.2003, S. 32), zuletzt geändert durch </w:t>
      </w:r>
    </w:p>
    <w:p w14:paraId="34B3CD5E" w14:textId="3AB4D5C3" w:rsidR="00745B78" w:rsidRDefault="00745B78">
      <w:pPr>
        <w:pStyle w:val="Funotentext"/>
      </w:pPr>
      <w:r>
        <w:t xml:space="preserve">  </w:t>
      </w:r>
      <w:hyperlink r:id="rId1" w:tooltip="32023R0435" w:history="1">
        <w:r>
          <w:rPr>
            <w:rFonts w:eastAsia="Times New Roman"/>
            <w:lang w:eastAsia="de-DE"/>
          </w:rPr>
          <w:t>Verordnung</w:t>
        </w:r>
        <w:r w:rsidRPr="00B575A9">
          <w:rPr>
            <w:rFonts w:eastAsia="Times New Roman"/>
            <w:lang w:eastAsia="de-DE"/>
          </w:rPr>
          <w:t xml:space="preserve"> (EU) 2023/435</w:t>
        </w:r>
        <w:r>
          <w:rPr>
            <w:rFonts w:eastAsia="Times New Roman"/>
            <w:lang w:eastAsia="de-DE"/>
          </w:rPr>
          <w:t xml:space="preserve"> </w:t>
        </w:r>
        <w:r w:rsidRPr="00B575A9">
          <w:rPr>
            <w:rFonts w:eastAsia="Times New Roman"/>
            <w:lang w:eastAsia="de-DE"/>
          </w:rPr>
          <w:t>vom 27. Februar 2023</w:t>
        </w:r>
      </w:hyperlink>
      <w:r w:rsidRPr="00B575A9">
        <w:rPr>
          <w:rFonts w:eastAsia="Times New Roman"/>
          <w:lang w:eastAsia="de-DE"/>
        </w:rPr>
        <w:t xml:space="preserve"> (</w:t>
      </w:r>
      <w:proofErr w:type="spellStart"/>
      <w:r w:rsidRPr="00B575A9">
        <w:rPr>
          <w:rFonts w:eastAsia="Times New Roman"/>
          <w:iCs/>
          <w:lang w:eastAsia="de-DE"/>
        </w:rPr>
        <w:t>ABl.</w:t>
      </w:r>
      <w:proofErr w:type="spellEnd"/>
      <w:r w:rsidRPr="00B575A9">
        <w:rPr>
          <w:rFonts w:eastAsia="Times New Roman"/>
          <w:iCs/>
          <w:lang w:eastAsia="de-DE"/>
        </w:rPr>
        <w:t xml:space="preserve"> L 63 vom 28.2.2023, S. 1)</w:t>
      </w:r>
      <w:r>
        <w:rPr>
          <w:rFonts w:eastAsia="Times New Roman"/>
          <w:iCs/>
          <w:lang w:eastAsia="de-DE"/>
        </w:rPr>
        <w:t>.</w:t>
      </w:r>
    </w:p>
  </w:footnote>
  <w:footnote w:id="4">
    <w:p w14:paraId="3A10B1DD" w14:textId="3091EA03" w:rsidR="00745B78" w:rsidRPr="004170E2" w:rsidRDefault="00745B78" w:rsidP="005F43F9">
      <w:pPr>
        <w:pStyle w:val="title-bold"/>
        <w:shd w:val="clear" w:color="auto" w:fill="FFFFFF"/>
        <w:spacing w:before="0" w:beforeAutospacing="0" w:after="0" w:afterAutospacing="0"/>
        <w:rPr>
          <w:rFonts w:ascii="Segoe UI" w:hAnsi="Segoe UI" w:cs="Segoe UI"/>
          <w:color w:val="333333"/>
          <w:sz w:val="21"/>
          <w:szCs w:val="21"/>
        </w:rPr>
      </w:pPr>
      <w:r w:rsidRPr="005F43F9">
        <w:rPr>
          <w:rStyle w:val="Funotenzeichen"/>
          <w:rFonts w:asciiTheme="minorHAnsi" w:eastAsiaTheme="minorEastAsia" w:hAnsiTheme="minorHAnsi" w:cstheme="minorBidi"/>
          <w:sz w:val="20"/>
          <w:szCs w:val="20"/>
          <w:lang w:eastAsia="zh-CN"/>
        </w:rPr>
        <w:footnoteRef/>
      </w:r>
      <w:r w:rsidRPr="005F43F9">
        <w:rPr>
          <w:rStyle w:val="Funotenzeichen"/>
          <w:rFonts w:asciiTheme="minorHAnsi" w:eastAsiaTheme="minorEastAsia" w:hAnsiTheme="minorHAnsi" w:cstheme="minorBidi"/>
          <w:sz w:val="20"/>
          <w:szCs w:val="20"/>
          <w:lang w:eastAsia="zh-CN"/>
        </w:rPr>
        <w:t xml:space="preserve"> </w:t>
      </w:r>
      <w:r w:rsidRPr="00B575A9">
        <w:rPr>
          <w:rFonts w:asciiTheme="minorHAnsi" w:hAnsiTheme="minorHAnsi" w:cstheme="minorBidi"/>
          <w:sz w:val="20"/>
          <w:szCs w:val="20"/>
        </w:rPr>
        <w:t xml:space="preserve">Mitteilung der </w:t>
      </w:r>
      <w:r w:rsidRPr="0034465B">
        <w:rPr>
          <w:rFonts w:asciiTheme="minorHAnsi" w:hAnsiTheme="minorHAnsi" w:cstheme="minorBidi"/>
          <w:sz w:val="20"/>
          <w:szCs w:val="20"/>
        </w:rPr>
        <w:t>Europäischen Kommission</w:t>
      </w:r>
      <w:r w:rsidRPr="00B575A9">
        <w:rPr>
          <w:rFonts w:asciiTheme="minorHAnsi" w:hAnsiTheme="minorHAnsi" w:cstheme="minorBidi"/>
          <w:sz w:val="20"/>
          <w:szCs w:val="20"/>
        </w:rPr>
        <w:t xml:space="preserve"> vom 1. Februa</w:t>
      </w:r>
      <w:r>
        <w:rPr>
          <w:rFonts w:asciiTheme="minorHAnsi" w:hAnsiTheme="minorHAnsi" w:cstheme="minorBidi"/>
          <w:sz w:val="20"/>
          <w:szCs w:val="20"/>
        </w:rPr>
        <w:t>r</w:t>
      </w:r>
      <w:r w:rsidRPr="00B575A9">
        <w:rPr>
          <w:rFonts w:asciiTheme="minorHAnsi" w:hAnsiTheme="minorHAnsi" w:cstheme="minorBidi"/>
          <w:sz w:val="20"/>
          <w:szCs w:val="20"/>
        </w:rPr>
        <w:t xml:space="preserve"> 2023, COM/2023/62 final</w:t>
      </w:r>
      <w:r>
        <w:rPr>
          <w:rFonts w:asciiTheme="minorHAnsi" w:hAnsiTheme="minorHAnsi" w:cstheme="minorBidi"/>
          <w:sz w:val="20"/>
          <w:szCs w:val="20"/>
        </w:rPr>
        <w:t>.</w:t>
      </w:r>
    </w:p>
  </w:footnote>
  <w:footnote w:id="5">
    <w:p w14:paraId="7180F6E7" w14:textId="4E3E5AF5" w:rsidR="00745B78" w:rsidRDefault="00745B78">
      <w:pPr>
        <w:pStyle w:val="Funotentext"/>
      </w:pPr>
      <w:r>
        <w:rPr>
          <w:rStyle w:val="Funotenzeichen"/>
        </w:rPr>
        <w:footnoteRef/>
      </w:r>
      <w:r>
        <w:t xml:space="preserve"> </w:t>
      </w:r>
      <w:proofErr w:type="spellStart"/>
      <w:r w:rsidRPr="00B575A9">
        <w:rPr>
          <w:rFonts w:eastAsia="Times New Roman"/>
          <w:iCs/>
          <w:lang w:eastAsia="de-DE"/>
        </w:rPr>
        <w:t>ABl.</w:t>
      </w:r>
      <w:proofErr w:type="spellEnd"/>
      <w:r w:rsidRPr="00B575A9">
        <w:rPr>
          <w:rFonts w:eastAsia="Times New Roman"/>
          <w:iCs/>
          <w:lang w:eastAsia="de-DE"/>
        </w:rPr>
        <w:t xml:space="preserve"> C 101 vom 17.3.2023, S. 3</w:t>
      </w:r>
      <w:r>
        <w:rPr>
          <w:rFonts w:eastAsia="Times New Roman"/>
          <w:iCs/>
          <w:lang w:eastAsia="de-DE"/>
        </w:rPr>
        <w:t>.</w:t>
      </w:r>
    </w:p>
  </w:footnote>
  <w:footnote w:id="6">
    <w:p w14:paraId="3AFF2050" w14:textId="1912967A" w:rsidR="00745B78" w:rsidRDefault="00745B78" w:rsidP="00211BD8">
      <w:pPr>
        <w:pStyle w:val="Funotentext"/>
      </w:pPr>
      <w:r>
        <w:rPr>
          <w:rStyle w:val="Funotenzeichen"/>
        </w:rPr>
        <w:footnoteRef/>
      </w:r>
      <w:r>
        <w:t xml:space="preserve"> Verordnung (EU) Nr. 651/2014 vom 17. Juni 2014 (</w:t>
      </w:r>
      <w:proofErr w:type="spellStart"/>
      <w:r>
        <w:t>ABl.</w:t>
      </w:r>
      <w:proofErr w:type="spellEnd"/>
      <w:r>
        <w:t xml:space="preserve"> L 187 vom 26. </w:t>
      </w:r>
      <w:proofErr w:type="gramStart"/>
      <w:r>
        <w:t>Juni  2014</w:t>
      </w:r>
      <w:proofErr w:type="gramEnd"/>
      <w:r>
        <w:t xml:space="preserve">, S. 1), zuletzt </w:t>
      </w:r>
      <w:r w:rsidRPr="00D40931">
        <w:t xml:space="preserve">geändert durch </w:t>
      </w:r>
    </w:p>
    <w:p w14:paraId="1ECCE086" w14:textId="58CC030D" w:rsidR="00745B78" w:rsidRDefault="00745B78" w:rsidP="00211BD8">
      <w:pPr>
        <w:pStyle w:val="Funotentext"/>
      </w:pPr>
      <w:r>
        <w:t xml:space="preserve">  </w:t>
      </w:r>
      <w:r w:rsidRPr="00D40931">
        <w:t>Verordnung (EU) der Kommission Nr. 2023/1315 vom 23. Juni 2023 (</w:t>
      </w:r>
      <w:proofErr w:type="spellStart"/>
      <w:r w:rsidRPr="00D40931">
        <w:t>ABl.</w:t>
      </w:r>
      <w:proofErr w:type="spellEnd"/>
      <w:r w:rsidRPr="00D40931">
        <w:t xml:space="preserve"> L167</w:t>
      </w:r>
      <w:r>
        <w:t xml:space="preserve"> vom 30.Juni 2023</w:t>
      </w:r>
      <w:r w:rsidRPr="00D40931">
        <w:t>, S.1).</w:t>
      </w:r>
    </w:p>
  </w:footnote>
  <w:footnote w:id="7">
    <w:p w14:paraId="660A7A54" w14:textId="77777777" w:rsidR="00745B78" w:rsidRDefault="00745B78" w:rsidP="00FE5D9D">
      <w:pPr>
        <w:pStyle w:val="Funotentext"/>
      </w:pPr>
      <w:r>
        <w:rPr>
          <w:rStyle w:val="Funotenzeichen"/>
        </w:rPr>
        <w:footnoteRef/>
      </w:r>
      <w:r>
        <w:t xml:space="preserve"> BAnz AT vom 15. Januar 2021 B5.</w:t>
      </w:r>
    </w:p>
  </w:footnote>
  <w:footnote w:id="8">
    <w:p w14:paraId="4E7E372A" w14:textId="73887951" w:rsidR="00745B78" w:rsidRDefault="00745B78">
      <w:pPr>
        <w:pStyle w:val="Funotentext"/>
      </w:pPr>
      <w:r>
        <w:rPr>
          <w:rStyle w:val="Funotenzeichen"/>
        </w:rPr>
        <w:footnoteRef/>
      </w:r>
      <w:r>
        <w:t xml:space="preserve"> </w:t>
      </w:r>
      <w:r w:rsidRPr="00E120CF">
        <w:t>Welche Emissionen schwer vermeidbar sind, wird auf Basis der Carbon Management-Strategie definiert.</w:t>
      </w:r>
    </w:p>
  </w:footnote>
  <w:footnote w:id="9">
    <w:p w14:paraId="017EFAC6" w14:textId="77777777" w:rsidR="00745B78" w:rsidRDefault="00745B78" w:rsidP="00763F97">
      <w:pPr>
        <w:pStyle w:val="Funotentext"/>
      </w:pPr>
      <w:r>
        <w:rPr>
          <w:rStyle w:val="Funotenzeichen"/>
        </w:rPr>
        <w:footnoteRef/>
      </w:r>
      <w:r>
        <w:t xml:space="preserve"> Verordnung (EU) Nr. 651/2014 vom 17. Juni 2014 (</w:t>
      </w:r>
      <w:proofErr w:type="spellStart"/>
      <w:r>
        <w:t>ABl.</w:t>
      </w:r>
      <w:proofErr w:type="spellEnd"/>
      <w:r>
        <w:t xml:space="preserve"> L 187 vom 26.6.2014, S. 1), zuletzt </w:t>
      </w:r>
      <w:r w:rsidRPr="00663945">
        <w:t xml:space="preserve">geändert durch </w:t>
      </w:r>
    </w:p>
    <w:p w14:paraId="7F671E12" w14:textId="77777777" w:rsidR="00745B78" w:rsidRDefault="00745B78" w:rsidP="00763F97">
      <w:pPr>
        <w:pStyle w:val="Funotentext"/>
      </w:pPr>
      <w:r>
        <w:t xml:space="preserve">  </w:t>
      </w:r>
      <w:r w:rsidRPr="00663945">
        <w:t>Verordnung (EU) der Kommission Nr. 2023/1315 vom 23. Juni 2023 (</w:t>
      </w:r>
      <w:proofErr w:type="spellStart"/>
      <w:r w:rsidRPr="00663945">
        <w:t>ABl.</w:t>
      </w:r>
      <w:proofErr w:type="spellEnd"/>
      <w:r w:rsidRPr="00663945">
        <w:t xml:space="preserve"> L167, S.1</w:t>
      </w:r>
      <w:r>
        <w:t>).</w:t>
      </w:r>
    </w:p>
  </w:footnote>
  <w:footnote w:id="10">
    <w:p w14:paraId="31F995D2" w14:textId="77777777" w:rsidR="00745B78" w:rsidRDefault="00745B78" w:rsidP="00763F97">
      <w:pPr>
        <w:pStyle w:val="Funotentext"/>
      </w:pPr>
      <w:r>
        <w:rPr>
          <w:rStyle w:val="Funotenzeichen"/>
        </w:rPr>
        <w:footnoteRef/>
      </w:r>
      <w:r>
        <w:t xml:space="preserve"> [</w:t>
      </w:r>
      <w:r w:rsidRPr="00B575A9">
        <w:rPr>
          <w:highlight w:val="yellow"/>
        </w:rPr>
        <w:t>Fundstelle</w:t>
      </w:r>
      <w:r>
        <w:rPr>
          <w:highlight w:val="yellow"/>
        </w:rPr>
        <w:t xml:space="preserve"> nach Veröffentlichung</w:t>
      </w:r>
      <w:r>
        <w:t>…]</w:t>
      </w:r>
    </w:p>
  </w:footnote>
  <w:footnote w:id="11">
    <w:p w14:paraId="0BAD1258" w14:textId="6C630CAB" w:rsidR="00745B78" w:rsidRPr="00FA56EC" w:rsidRDefault="00745B78" w:rsidP="00AD2E60">
      <w:pPr>
        <w:pStyle w:val="Funotentext"/>
        <w:rPr>
          <w:lang w:val="en-GB"/>
        </w:rPr>
      </w:pPr>
      <w:r>
        <w:rPr>
          <w:rStyle w:val="Funotenzeichen"/>
        </w:rPr>
        <w:footnoteRef/>
      </w:r>
      <w:r w:rsidRPr="00FA56EC">
        <w:rPr>
          <w:lang w:val="en-GB"/>
        </w:rPr>
        <w:t xml:space="preserve"> TRL 1 – basic principles observed; TRL 2 – technology concept formulated; TRL 3 – experimental proof of concept provided; TRL 4 – technology validated in lab; TRL 5 – technology validated in relevant environment; TRL 6 – technology demonstrated in relevant environment; TRL 7 – system prototype demonstrated in operational environment; TRL 8 – system complete and qualified; TRL 9 – actual system proven in operational environment</w:t>
      </w:r>
      <w:r>
        <w:rPr>
          <w:lang w:val="en-GB"/>
        </w:rPr>
        <w:t xml:space="preserve">, </w:t>
      </w:r>
      <w:proofErr w:type="spellStart"/>
      <w:r w:rsidRPr="0034465B">
        <w:rPr>
          <w:color w:val="000000" w:themeColor="text1"/>
          <w:lang w:val="en-GB"/>
        </w:rPr>
        <w:t>Europäische</w:t>
      </w:r>
      <w:proofErr w:type="spellEnd"/>
      <w:r w:rsidRPr="0034465B">
        <w:rPr>
          <w:color w:val="000000" w:themeColor="text1"/>
          <w:lang w:val="en-GB"/>
        </w:rPr>
        <w:t xml:space="preserve"> </w:t>
      </w:r>
      <w:proofErr w:type="spellStart"/>
      <w:r w:rsidRPr="0034465B">
        <w:rPr>
          <w:color w:val="000000" w:themeColor="text1"/>
          <w:lang w:val="en-GB"/>
        </w:rPr>
        <w:t>Kommission</w:t>
      </w:r>
      <w:proofErr w:type="spellEnd"/>
      <w:r>
        <w:rPr>
          <w:lang w:val="en-GB"/>
        </w:rPr>
        <w:t xml:space="preserve">, </w:t>
      </w:r>
      <w:r w:rsidRPr="00FA56EC">
        <w:rPr>
          <w:lang w:val="en-GB"/>
        </w:rPr>
        <w:t>SWD</w:t>
      </w:r>
      <w:r>
        <w:rPr>
          <w:lang w:val="en-GB"/>
        </w:rPr>
        <w:t xml:space="preserve"> </w:t>
      </w:r>
      <w:r w:rsidRPr="00FA56EC">
        <w:rPr>
          <w:lang w:val="en-GB"/>
        </w:rPr>
        <w:t>(2018) 307 final, Annex, S. 4.</w:t>
      </w:r>
    </w:p>
  </w:footnote>
  <w:footnote w:id="12">
    <w:p w14:paraId="002F5D0F" w14:textId="0350193D" w:rsidR="00745B78" w:rsidRPr="008A32E2" w:rsidRDefault="00745B78" w:rsidP="00B575A9">
      <w:pPr>
        <w:pStyle w:val="toc-1"/>
        <w:spacing w:before="0" w:beforeAutospacing="0" w:after="0" w:afterAutospacing="0" w:line="312" w:lineRule="atLeast"/>
      </w:pPr>
      <w:r>
        <w:rPr>
          <w:rStyle w:val="Funotenzeichen"/>
        </w:rPr>
        <w:footnoteRef/>
      </w:r>
      <w:r>
        <w:t xml:space="preserve"> </w:t>
      </w:r>
      <w:r w:rsidRPr="00B575A9">
        <w:rPr>
          <w:rFonts w:asciiTheme="minorHAnsi" w:eastAsiaTheme="minorEastAsia" w:hAnsiTheme="minorHAnsi" w:cstheme="minorBidi"/>
          <w:sz w:val="20"/>
          <w:szCs w:val="20"/>
          <w:lang w:eastAsia="zh-CN"/>
        </w:rPr>
        <w:t>Verordnung (EU) 2018/1999 11. Dezember 2018 (</w:t>
      </w:r>
      <w:proofErr w:type="spellStart"/>
      <w:r w:rsidRPr="00B575A9">
        <w:rPr>
          <w:rFonts w:asciiTheme="minorHAnsi" w:hAnsiTheme="minorHAnsi" w:cstheme="minorBidi"/>
          <w:sz w:val="20"/>
          <w:szCs w:val="20"/>
          <w:lang w:eastAsia="zh-CN"/>
        </w:rPr>
        <w:t>ABl.</w:t>
      </w:r>
      <w:proofErr w:type="spellEnd"/>
      <w:r w:rsidRPr="00B575A9">
        <w:rPr>
          <w:rFonts w:asciiTheme="minorHAnsi" w:hAnsiTheme="minorHAnsi" w:cstheme="minorBidi"/>
          <w:sz w:val="20"/>
          <w:szCs w:val="20"/>
          <w:lang w:eastAsia="zh-CN"/>
        </w:rPr>
        <w:t xml:space="preserve"> L 328 vom 21.12.2018, S. 1), zuletzt geändert durch </w:t>
      </w:r>
      <w:hyperlink r:id="rId2" w:tooltip="32023R0857" w:history="1">
        <w:r w:rsidRPr="00B575A9">
          <w:rPr>
            <w:rFonts w:asciiTheme="minorHAnsi" w:hAnsiTheme="minorHAnsi" w:cstheme="minorBidi"/>
            <w:sz w:val="20"/>
            <w:szCs w:val="20"/>
            <w:lang w:eastAsia="zh-CN"/>
          </w:rPr>
          <w:t>vom 19. </w:t>
        </w:r>
        <w:r w:rsidRPr="008A32E2">
          <w:rPr>
            <w:rFonts w:asciiTheme="minorHAnsi" w:hAnsiTheme="minorHAnsi" w:cstheme="minorBidi"/>
            <w:sz w:val="20"/>
            <w:szCs w:val="20"/>
            <w:lang w:eastAsia="zh-CN"/>
          </w:rPr>
          <w:t>April 2023</w:t>
        </w:r>
      </w:hyperlink>
      <w:r w:rsidRPr="008A32E2">
        <w:rPr>
          <w:rFonts w:asciiTheme="minorHAnsi" w:eastAsiaTheme="minorEastAsia" w:hAnsiTheme="minorHAnsi" w:cstheme="minorBidi"/>
          <w:sz w:val="20"/>
          <w:szCs w:val="20"/>
          <w:lang w:eastAsia="zh-CN"/>
        </w:rPr>
        <w:t xml:space="preserve"> (ABl. L 111 vom 26. April 2023, S. 1).</w:t>
      </w:r>
    </w:p>
  </w:footnote>
  <w:footnote w:id="13">
    <w:p w14:paraId="4FDA4265" w14:textId="2F23AD25" w:rsidR="00745B78" w:rsidRDefault="00745B78" w:rsidP="00E17FE1">
      <w:pPr>
        <w:pStyle w:val="Funotentext"/>
        <w:ind w:left="284" w:hanging="284"/>
      </w:pPr>
      <w:r>
        <w:rPr>
          <w:rStyle w:val="Funotenzeichen"/>
        </w:rPr>
        <w:footnoteRef/>
      </w:r>
      <w:r w:rsidRPr="00030993">
        <w:t xml:space="preserve"> </w:t>
      </w:r>
      <w:r w:rsidRPr="00F201FE">
        <w:t>Richtlinie für die Bundesförderung für Energie- und Ressourceneffizienz</w:t>
      </w:r>
      <w:r>
        <w:t xml:space="preserve"> </w:t>
      </w:r>
      <w:r w:rsidRPr="00F201FE">
        <w:t>in der</w:t>
      </w:r>
      <w:r>
        <w:t xml:space="preserve"> </w:t>
      </w:r>
      <w:r w:rsidRPr="00F201FE">
        <w:t>Wirtschaft – Zuschuss und Kredit</w:t>
      </w:r>
      <w:r>
        <w:t xml:space="preserve"> v</w:t>
      </w:r>
      <w:r w:rsidRPr="00F201FE">
        <w:t>om 8. Mai 2023</w:t>
      </w:r>
      <w:r>
        <w:t xml:space="preserve">, </w:t>
      </w:r>
      <w:r w:rsidRPr="00030993">
        <w:t>BAnz AT 25.05.2023 B2.</w:t>
      </w:r>
    </w:p>
  </w:footnote>
  <w:footnote w:id="14">
    <w:p w14:paraId="033202BF" w14:textId="77777777" w:rsidR="00745B78" w:rsidRDefault="00745B78">
      <w:pPr>
        <w:pStyle w:val="Funotentext"/>
      </w:pPr>
      <w:r>
        <w:rPr>
          <w:rStyle w:val="Funotenzeichen"/>
        </w:rPr>
        <w:footnoteRef/>
      </w:r>
      <w:r>
        <w:t xml:space="preserve"> [</w:t>
      </w:r>
      <w:r w:rsidRPr="0034465B">
        <w:rPr>
          <w:highlight w:val="yellow"/>
        </w:rPr>
        <w:t>Fundstelle]</w:t>
      </w:r>
    </w:p>
  </w:footnote>
  <w:footnote w:id="15">
    <w:p w14:paraId="466EF525" w14:textId="5A88CB2D" w:rsidR="00745B78" w:rsidRDefault="00745B78">
      <w:pPr>
        <w:pStyle w:val="Funotentext"/>
      </w:pPr>
      <w:r w:rsidRPr="00CC0627">
        <w:rPr>
          <w:rStyle w:val="Funotenzeichen"/>
        </w:rPr>
        <w:footnoteRef/>
      </w:r>
      <w:r w:rsidRPr="00CC0627">
        <w:t xml:space="preserve"> Nicht-innovativ sind Vorhaben</w:t>
      </w:r>
      <w:r>
        <w:t>, die</w:t>
      </w:r>
      <w:r w:rsidRPr="008A32E2">
        <w:t xml:space="preserve"> </w:t>
      </w:r>
      <w:r>
        <w:t>ausschließlich Technologien verwenden, die bereits breit in dem Einsatzsektor verfügbar sind und genutzt werden.</w:t>
      </w:r>
    </w:p>
  </w:footnote>
  <w:footnote w:id="16">
    <w:p w14:paraId="0C2D1F51" w14:textId="77777777" w:rsidR="00745B78" w:rsidRDefault="00745B78" w:rsidP="00045615">
      <w:pPr>
        <w:pStyle w:val="Funotentext"/>
      </w:pPr>
      <w:r>
        <w:rPr>
          <w:rStyle w:val="Funotenzeichen"/>
        </w:rPr>
        <w:footnoteRef/>
      </w:r>
      <w:r>
        <w:t xml:space="preserve"> Weitere Informationen: Internetseite des Europäischen IVU-Büros (https://eippcb.jrc.ec.europa.eu/reference/), Internetseite des Umweltbundesamts</w:t>
      </w:r>
    </w:p>
    <w:p w14:paraId="3A171BED" w14:textId="77777777" w:rsidR="00745B78" w:rsidRDefault="00745B78" w:rsidP="00045615">
      <w:pPr>
        <w:pStyle w:val="Funotentext"/>
      </w:pPr>
      <w:r>
        <w:t>(https://www.umweltbundesamt.de/themen/wirtschaft-konsum/beste-verfuegbare-techniken/sevilla-prozess/bvt-merkblaetter-durchfuehrungsbeschluesse).</w:t>
      </w:r>
    </w:p>
  </w:footnote>
  <w:footnote w:id="17">
    <w:p w14:paraId="4FC63498" w14:textId="4F610980" w:rsidR="00745B78" w:rsidRDefault="00745B78">
      <w:pPr>
        <w:pStyle w:val="Funotentext"/>
      </w:pPr>
      <w:r>
        <w:rPr>
          <w:rStyle w:val="Funotenzeichen"/>
        </w:rPr>
        <w:footnoteRef/>
      </w:r>
      <w:r>
        <w:t xml:space="preserve"> Bei </w:t>
      </w:r>
      <w:r w:rsidRPr="00FA56EC">
        <w:t>Tätigkeiten, die unter das Emissionshandelssystem</w:t>
      </w:r>
      <w:r>
        <w:t xml:space="preserve"> fallen, gelten hierfür die </w:t>
      </w:r>
      <w:r w:rsidRPr="00FA56EC">
        <w:t xml:space="preserve">einschlägigen Benchmarkwerte für die kostenlose Zuteilung gemäß der Durchführungsverordnung (EU) 2021/447 der </w:t>
      </w:r>
      <w:r>
        <w:rPr>
          <w:color w:val="000000" w:themeColor="text1"/>
        </w:rPr>
        <w:t>Europäischen Kommission</w:t>
      </w:r>
      <w:r>
        <w:t>. Bei anderen Tätigkeiten müssen entsprechende Nachweise für Benchmarkwerte erbracht werden.</w:t>
      </w:r>
    </w:p>
  </w:footnote>
  <w:footnote w:id="18">
    <w:p w14:paraId="3411CA03" w14:textId="77777777" w:rsidR="00745B78" w:rsidRDefault="00745B78" w:rsidP="001A3452">
      <w:pPr>
        <w:pStyle w:val="Funotentext"/>
      </w:pPr>
      <w:r>
        <w:rPr>
          <w:rStyle w:val="Funotenzeichen"/>
        </w:rPr>
        <w:footnoteRef/>
      </w:r>
      <w:r>
        <w:t xml:space="preserve"> Digitales Formularsystem des Bundes für Förderanträge</w:t>
      </w:r>
    </w:p>
  </w:footnote>
  <w:footnote w:id="19">
    <w:p w14:paraId="00D39058" w14:textId="3D41C6AB" w:rsidR="00745B78" w:rsidRPr="008A32E2" w:rsidRDefault="00745B78">
      <w:pPr>
        <w:pStyle w:val="Funotentext"/>
      </w:pPr>
      <w:r>
        <w:rPr>
          <w:rStyle w:val="Funotenzeichen"/>
        </w:rPr>
        <w:footnoteRef/>
      </w:r>
      <w:r>
        <w:t xml:space="preserve"> Die Minderung</w:t>
      </w:r>
      <w:r w:rsidRPr="00415E48">
        <w:t xml:space="preserve"> sind die THG-Emissionen der Bestandsanlage, die durch Umsetzung des Projekts vermieden werden, abzüglich der THG-Emissionen der zu errichtenden Anlage. Dabei sind </w:t>
      </w:r>
      <w:r>
        <w:t>Scope 1- und Scope 2-Emissionen</w:t>
      </w:r>
      <w:r w:rsidRPr="00415E48">
        <w:t xml:space="preserve"> zu berücksichtigen. Soweit die zu errichtende Anlage andere Rohstoffe einsetzt, andere Produkte erzeugt oder eine andere Produktionsleistung hat als die Bestandsanlage, ist die Berechnung der THG-Einsparungen entsprechend anzupassen. Wenn Prozessschritte ausgelagert oder internalisiert werden sollen, z.B. durch Veränderungen der eingesetzten Rohstoffe, sind für die Ermittlung der damit verbundenen THG-Emissionen standardisierte Emissionsfaktoren anzusetzen. Ist keine Bestandsanlage vorhanden, werden die THG-Emissionen der Vergleichsanlage auf Basis der Benchmarkwerte für den aktuellen Zeitraum ermittelt, sofern verfügbar. Ergeben sich die Emissionen der Vergleichsanlage aus einer Kombination mehrerer </w:t>
      </w:r>
      <w:r w:rsidRPr="008A32E2">
        <w:t>Benchmarks, legt der Projektträger diese Kombination fest. Für Anlagenarten, die nicht dem EU-ETS unterliegen, werden die THG-Emissionen der Vergleichsanlage mit 20 % unter denen nach Stand der Technik angesetzt. Die Vergleichsanlage ist vom Antragsteller plausibel darzulegen.</w:t>
      </w:r>
    </w:p>
  </w:footnote>
  <w:footnote w:id="20">
    <w:p w14:paraId="1ECCE113" w14:textId="6D332CC5" w:rsidR="00745B78" w:rsidRPr="008A32E2" w:rsidRDefault="00745B78" w:rsidP="008A32E2">
      <w:pPr>
        <w:ind w:left="142" w:hanging="142"/>
        <w:rPr>
          <w:sz w:val="20"/>
          <w:szCs w:val="20"/>
        </w:rPr>
      </w:pPr>
      <w:r w:rsidRPr="008A32E2">
        <w:rPr>
          <w:rStyle w:val="Funotenzeichen"/>
        </w:rPr>
        <w:footnoteRef/>
      </w:r>
      <w:r w:rsidRPr="008A32E2">
        <w:t xml:space="preserve"> </w:t>
      </w:r>
      <w:r w:rsidRPr="008A32E2">
        <w:rPr>
          <w:sz w:val="20"/>
          <w:szCs w:val="20"/>
        </w:rPr>
        <w:t>Vorhaben werden u.a. dann als innovativ gewertet, wenn sie die Erstkommerzialisierung einer Technologie     darstellen oder Technologien in einem Bereich zum Einsatz bringen, in dem sie bislang überwiegend nicht eingesetzt werden. Als weniger innovativ zählen Technologien, die bereits vereinzelt in dieser oder ähnlicher Form in dem geplanten Bereich eingesetzt werden.</w:t>
      </w:r>
    </w:p>
    <w:p w14:paraId="51635A74" w14:textId="58B1245D" w:rsidR="00745B78" w:rsidRDefault="00745B78">
      <w:pPr>
        <w:pStyle w:val="Funotentext"/>
      </w:pPr>
    </w:p>
  </w:footnote>
  <w:footnote w:id="21">
    <w:p w14:paraId="1F7E7306" w14:textId="4D48397E" w:rsidR="00745B78" w:rsidRDefault="00745B78">
      <w:pPr>
        <w:pStyle w:val="Funotentext"/>
      </w:pPr>
      <w:r>
        <w:rPr>
          <w:rStyle w:val="Funotenzeichen"/>
        </w:rPr>
        <w:footnoteRef/>
      </w:r>
      <w:r>
        <w:t xml:space="preserve"> BAnz AT vom 15. Januar 2021 B5.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3783" w14:textId="6B367EDF" w:rsidR="00745B78" w:rsidRPr="0045151E" w:rsidRDefault="00745B78" w:rsidP="0045151E">
    <w:pPr>
      <w:pStyle w:val="Kopfzeile"/>
      <w:jc w:val="center"/>
      <w:rPr>
        <w:b/>
        <w:sz w:val="28"/>
        <w:szCs w:val="28"/>
      </w:rPr>
    </w:pPr>
    <w:r w:rsidRPr="0045151E">
      <w:rPr>
        <w:b/>
        <w:sz w:val="28"/>
        <w:szCs w:val="28"/>
      </w:rPr>
      <w:t>ENTWURF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36A080"/>
    <w:lvl w:ilvl="0">
      <w:start w:val="1"/>
      <w:numFmt w:val="bullet"/>
      <w:pStyle w:val="Aufzhlungszeichen"/>
      <w:lvlText w:val=""/>
      <w:lvlJc w:val="left"/>
      <w:pPr>
        <w:tabs>
          <w:tab w:val="num" w:pos="1135"/>
        </w:tabs>
        <w:ind w:left="1135" w:hanging="360"/>
      </w:pPr>
      <w:rPr>
        <w:rFonts w:ascii="Symbol" w:hAnsi="Symbol" w:hint="default"/>
      </w:rPr>
    </w:lvl>
  </w:abstractNum>
  <w:abstractNum w:abstractNumId="1" w15:restartNumberingAfterBreak="0">
    <w:nsid w:val="01541FA1"/>
    <w:multiLevelType w:val="hybridMultilevel"/>
    <w:tmpl w:val="42E47F9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B41E7EB6">
      <w:start w:val="3"/>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BC66AD"/>
    <w:multiLevelType w:val="hybridMultilevel"/>
    <w:tmpl w:val="75C46E9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8815EB4"/>
    <w:multiLevelType w:val="hybridMultilevel"/>
    <w:tmpl w:val="C08AE7D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B9165CE"/>
    <w:multiLevelType w:val="hybridMultilevel"/>
    <w:tmpl w:val="0F8A7F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E52A8"/>
    <w:multiLevelType w:val="hybridMultilevel"/>
    <w:tmpl w:val="C0168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127194"/>
    <w:multiLevelType w:val="hybridMultilevel"/>
    <w:tmpl w:val="308CCDB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FD0DAB"/>
    <w:multiLevelType w:val="hybridMultilevel"/>
    <w:tmpl w:val="1E5C18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541512"/>
    <w:multiLevelType w:val="hybridMultilevel"/>
    <w:tmpl w:val="79CE5C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B7027B"/>
    <w:multiLevelType w:val="hybridMultilevel"/>
    <w:tmpl w:val="A71ED962"/>
    <w:lvl w:ilvl="0" w:tplc="04070019">
      <w:start w:val="1"/>
      <w:numFmt w:val="lowerLetter"/>
      <w:lvlText w:val="%1."/>
      <w:lvlJc w:val="left"/>
      <w:pPr>
        <w:ind w:left="1428" w:hanging="360"/>
      </w:pPr>
    </w:lvl>
    <w:lvl w:ilvl="1" w:tplc="04070017">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15:restartNumberingAfterBreak="0">
    <w:nsid w:val="10C62A5E"/>
    <w:multiLevelType w:val="hybridMultilevel"/>
    <w:tmpl w:val="1D70C216"/>
    <w:lvl w:ilvl="0" w:tplc="AD9241D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1481D56"/>
    <w:multiLevelType w:val="hybridMultilevel"/>
    <w:tmpl w:val="450C32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7B2E3C"/>
    <w:multiLevelType w:val="hybridMultilevel"/>
    <w:tmpl w:val="F73E9ADE"/>
    <w:lvl w:ilvl="0" w:tplc="04070015">
      <w:start w:val="1"/>
      <w:numFmt w:val="decimal"/>
      <w:lvlText w:val="(%1)"/>
      <w:lvlJc w:val="left"/>
      <w:pPr>
        <w:ind w:left="720" w:hanging="360"/>
      </w:pPr>
      <w:rPr>
        <w:rFonts w:hint="default"/>
      </w:rPr>
    </w:lvl>
    <w:lvl w:ilvl="1" w:tplc="9EDCF05A">
      <w:start w:val="4"/>
      <w:numFmt w:val="bullet"/>
      <w:lvlText w:val="-"/>
      <w:lvlJc w:val="left"/>
      <w:pPr>
        <w:ind w:left="1440" w:hanging="360"/>
      </w:pPr>
      <w:rPr>
        <w:rFonts w:ascii="Calibri" w:eastAsiaTheme="minorEastAsia"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D67B64"/>
    <w:multiLevelType w:val="hybridMultilevel"/>
    <w:tmpl w:val="1D14DA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031FD1"/>
    <w:multiLevelType w:val="hybridMultilevel"/>
    <w:tmpl w:val="8732FA1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182E541E"/>
    <w:multiLevelType w:val="hybridMultilevel"/>
    <w:tmpl w:val="1D14DA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B6223D5"/>
    <w:multiLevelType w:val="hybridMultilevel"/>
    <w:tmpl w:val="B80C473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A95B03"/>
    <w:multiLevelType w:val="hybridMultilevel"/>
    <w:tmpl w:val="B8287404"/>
    <w:lvl w:ilvl="0" w:tplc="04070015">
      <w:start w:val="1"/>
      <w:numFmt w:val="decimal"/>
      <w:lvlText w:val="(%1)"/>
      <w:lvlJc w:val="left"/>
      <w:pPr>
        <w:ind w:left="720" w:hanging="360"/>
      </w:pPr>
    </w:lvl>
    <w:lvl w:ilvl="1" w:tplc="04070017">
      <w:start w:val="1"/>
      <w:numFmt w:val="lowerLetter"/>
      <w:lvlText w:val="%2)"/>
      <w:lvlJc w:val="left"/>
      <w:pPr>
        <w:ind w:left="1790" w:hanging="71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CB7930"/>
    <w:multiLevelType w:val="hybridMultilevel"/>
    <w:tmpl w:val="CD48E5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2606F6B"/>
    <w:multiLevelType w:val="hybridMultilevel"/>
    <w:tmpl w:val="AEBAB8A0"/>
    <w:lvl w:ilvl="0" w:tplc="04070015">
      <w:start w:val="1"/>
      <w:numFmt w:val="decimal"/>
      <w:lvlText w:val="(%1)"/>
      <w:lvlJc w:val="left"/>
      <w:pPr>
        <w:ind w:left="429" w:hanging="360"/>
      </w:pPr>
      <w:rPr>
        <w:rFonts w:hint="default"/>
      </w:rPr>
    </w:lvl>
    <w:lvl w:ilvl="1" w:tplc="04070019">
      <w:start w:val="1"/>
      <w:numFmt w:val="lowerLetter"/>
      <w:lvlText w:val="%2."/>
      <w:lvlJc w:val="left"/>
      <w:pPr>
        <w:ind w:left="1149" w:hanging="360"/>
      </w:pPr>
    </w:lvl>
    <w:lvl w:ilvl="2" w:tplc="0407001B" w:tentative="1">
      <w:start w:val="1"/>
      <w:numFmt w:val="lowerRoman"/>
      <w:lvlText w:val="%3."/>
      <w:lvlJc w:val="right"/>
      <w:pPr>
        <w:ind w:left="1869" w:hanging="180"/>
      </w:pPr>
    </w:lvl>
    <w:lvl w:ilvl="3" w:tplc="0407000F" w:tentative="1">
      <w:start w:val="1"/>
      <w:numFmt w:val="decimal"/>
      <w:lvlText w:val="%4."/>
      <w:lvlJc w:val="left"/>
      <w:pPr>
        <w:ind w:left="2589" w:hanging="360"/>
      </w:pPr>
    </w:lvl>
    <w:lvl w:ilvl="4" w:tplc="04070019" w:tentative="1">
      <w:start w:val="1"/>
      <w:numFmt w:val="lowerLetter"/>
      <w:lvlText w:val="%5."/>
      <w:lvlJc w:val="left"/>
      <w:pPr>
        <w:ind w:left="3309" w:hanging="360"/>
      </w:pPr>
    </w:lvl>
    <w:lvl w:ilvl="5" w:tplc="0407001B" w:tentative="1">
      <w:start w:val="1"/>
      <w:numFmt w:val="lowerRoman"/>
      <w:lvlText w:val="%6."/>
      <w:lvlJc w:val="right"/>
      <w:pPr>
        <w:ind w:left="4029" w:hanging="180"/>
      </w:pPr>
    </w:lvl>
    <w:lvl w:ilvl="6" w:tplc="0407000F" w:tentative="1">
      <w:start w:val="1"/>
      <w:numFmt w:val="decimal"/>
      <w:lvlText w:val="%7."/>
      <w:lvlJc w:val="left"/>
      <w:pPr>
        <w:ind w:left="4749" w:hanging="360"/>
      </w:pPr>
    </w:lvl>
    <w:lvl w:ilvl="7" w:tplc="04070019" w:tentative="1">
      <w:start w:val="1"/>
      <w:numFmt w:val="lowerLetter"/>
      <w:lvlText w:val="%8."/>
      <w:lvlJc w:val="left"/>
      <w:pPr>
        <w:ind w:left="5469" w:hanging="360"/>
      </w:pPr>
    </w:lvl>
    <w:lvl w:ilvl="8" w:tplc="0407001B" w:tentative="1">
      <w:start w:val="1"/>
      <w:numFmt w:val="lowerRoman"/>
      <w:lvlText w:val="%9."/>
      <w:lvlJc w:val="right"/>
      <w:pPr>
        <w:ind w:left="6189" w:hanging="180"/>
      </w:pPr>
    </w:lvl>
  </w:abstractNum>
  <w:abstractNum w:abstractNumId="20" w15:restartNumberingAfterBreak="0">
    <w:nsid w:val="23CD1F3F"/>
    <w:multiLevelType w:val="hybridMultilevel"/>
    <w:tmpl w:val="E5907F5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27B45619"/>
    <w:multiLevelType w:val="multilevel"/>
    <w:tmpl w:val="9E04A852"/>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CD7282"/>
    <w:multiLevelType w:val="hybridMultilevel"/>
    <w:tmpl w:val="578E375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2E117664"/>
    <w:multiLevelType w:val="multilevel"/>
    <w:tmpl w:val="B9B6023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6D353E"/>
    <w:multiLevelType w:val="hybridMultilevel"/>
    <w:tmpl w:val="B0B6A9F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EEF3C12"/>
    <w:multiLevelType w:val="hybridMultilevel"/>
    <w:tmpl w:val="9B987B74"/>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6" w15:restartNumberingAfterBreak="0">
    <w:nsid w:val="30492C2D"/>
    <w:multiLevelType w:val="hybridMultilevel"/>
    <w:tmpl w:val="D6C4DE76"/>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307947D7"/>
    <w:multiLevelType w:val="hybridMultilevel"/>
    <w:tmpl w:val="D40416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1DE57B3"/>
    <w:multiLevelType w:val="hybridMultilevel"/>
    <w:tmpl w:val="180271C4"/>
    <w:lvl w:ilvl="0" w:tplc="04070015">
      <w:start w:val="1"/>
      <w:numFmt w:val="decimal"/>
      <w:lvlText w:val="(%1)"/>
      <w:lvlJc w:val="left"/>
      <w:pPr>
        <w:ind w:left="720" w:hanging="360"/>
      </w:pPr>
    </w:lvl>
    <w:lvl w:ilvl="1" w:tplc="D84A496C">
      <w:start w:val="5"/>
      <w:numFmt w:val="bullet"/>
      <w:lvlText w:val="•"/>
      <w:lvlJc w:val="left"/>
      <w:pPr>
        <w:ind w:left="1790" w:hanging="710"/>
      </w:pPr>
      <w:rPr>
        <w:rFonts w:ascii="Calibri" w:eastAsiaTheme="minorEastAsia"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20D67F4"/>
    <w:multiLevelType w:val="hybridMultilevel"/>
    <w:tmpl w:val="7004CA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3404CB1"/>
    <w:multiLevelType w:val="hybridMultilevel"/>
    <w:tmpl w:val="38D240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3533605"/>
    <w:multiLevelType w:val="hybridMultilevel"/>
    <w:tmpl w:val="2436B448"/>
    <w:lvl w:ilvl="0" w:tplc="04070017">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3400231F"/>
    <w:multiLevelType w:val="hybridMultilevel"/>
    <w:tmpl w:val="21D8D44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80426A5"/>
    <w:multiLevelType w:val="hybridMultilevel"/>
    <w:tmpl w:val="0F8A7F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C11AB"/>
    <w:multiLevelType w:val="multilevel"/>
    <w:tmpl w:val="DD42B2B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5A6981"/>
    <w:multiLevelType w:val="hybridMultilevel"/>
    <w:tmpl w:val="308CCB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E8A6A7C"/>
    <w:multiLevelType w:val="hybridMultilevel"/>
    <w:tmpl w:val="C75A63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F09025D"/>
    <w:multiLevelType w:val="hybridMultilevel"/>
    <w:tmpl w:val="D7488E4A"/>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30B3521"/>
    <w:multiLevelType w:val="hybridMultilevel"/>
    <w:tmpl w:val="AEBAB8A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36241A6"/>
    <w:multiLevelType w:val="hybridMultilevel"/>
    <w:tmpl w:val="59847E92"/>
    <w:lvl w:ilvl="0" w:tplc="04070017">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48A065A7"/>
    <w:multiLevelType w:val="hybridMultilevel"/>
    <w:tmpl w:val="C53648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9795AFB"/>
    <w:multiLevelType w:val="hybridMultilevel"/>
    <w:tmpl w:val="18E2F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B071EB4"/>
    <w:multiLevelType w:val="hybridMultilevel"/>
    <w:tmpl w:val="2182CDF2"/>
    <w:lvl w:ilvl="0" w:tplc="CD7EDD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E52630B"/>
    <w:multiLevelType w:val="hybridMultilevel"/>
    <w:tmpl w:val="C792E4A4"/>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4" w15:restartNumberingAfterBreak="0">
    <w:nsid w:val="5265431B"/>
    <w:multiLevelType w:val="multilevel"/>
    <w:tmpl w:val="953A5220"/>
    <w:styleLink w:val="Formatvorlag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4938B9"/>
    <w:multiLevelType w:val="hybridMultilevel"/>
    <w:tmpl w:val="C0168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2B25D1"/>
    <w:multiLevelType w:val="hybridMultilevel"/>
    <w:tmpl w:val="1C74D600"/>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B41E7EB6">
      <w:start w:val="3"/>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23131B2"/>
    <w:multiLevelType w:val="hybridMultilevel"/>
    <w:tmpl w:val="180271C4"/>
    <w:lvl w:ilvl="0" w:tplc="04070015">
      <w:start w:val="1"/>
      <w:numFmt w:val="decimal"/>
      <w:lvlText w:val="(%1)"/>
      <w:lvlJc w:val="left"/>
      <w:pPr>
        <w:ind w:left="720" w:hanging="360"/>
      </w:pPr>
    </w:lvl>
    <w:lvl w:ilvl="1" w:tplc="D84A496C">
      <w:start w:val="5"/>
      <w:numFmt w:val="bullet"/>
      <w:lvlText w:val="•"/>
      <w:lvlJc w:val="left"/>
      <w:pPr>
        <w:ind w:left="1790" w:hanging="710"/>
      </w:pPr>
      <w:rPr>
        <w:rFonts w:ascii="Calibri" w:eastAsiaTheme="minorEastAsia"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3114EA2"/>
    <w:multiLevelType w:val="multilevel"/>
    <w:tmpl w:val="B7547ED8"/>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69F2EE5"/>
    <w:multiLevelType w:val="hybridMultilevel"/>
    <w:tmpl w:val="943C4A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6B44C6D"/>
    <w:multiLevelType w:val="hybridMultilevel"/>
    <w:tmpl w:val="88AEF3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8D91E1D"/>
    <w:multiLevelType w:val="hybridMultilevel"/>
    <w:tmpl w:val="B3FC56DE"/>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69EB37EA"/>
    <w:multiLevelType w:val="hybridMultilevel"/>
    <w:tmpl w:val="C53648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0E55471"/>
    <w:multiLevelType w:val="hybridMultilevel"/>
    <w:tmpl w:val="86A633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3725A2"/>
    <w:multiLevelType w:val="hybridMultilevel"/>
    <w:tmpl w:val="3E324EEE"/>
    <w:lvl w:ilvl="0" w:tplc="717C398C">
      <w:start w:val="1"/>
      <w:numFmt w:val="decimal"/>
      <w:lvlText w:val="(%1)"/>
      <w:lvlJc w:val="left"/>
      <w:pPr>
        <w:ind w:left="908" w:hanging="62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2644096"/>
    <w:multiLevelType w:val="hybridMultilevel"/>
    <w:tmpl w:val="E946CFEE"/>
    <w:lvl w:ilvl="0" w:tplc="04070015">
      <w:start w:val="1"/>
      <w:numFmt w:val="decimal"/>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4176D35"/>
    <w:multiLevelType w:val="multilevel"/>
    <w:tmpl w:val="8D58E03E"/>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74801E80"/>
    <w:multiLevelType w:val="hybridMultilevel"/>
    <w:tmpl w:val="AC1888D8"/>
    <w:lvl w:ilvl="0" w:tplc="04070017">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8" w15:restartNumberingAfterBreak="0">
    <w:nsid w:val="74D55882"/>
    <w:multiLevelType w:val="hybridMultilevel"/>
    <w:tmpl w:val="F73E9ADE"/>
    <w:lvl w:ilvl="0" w:tplc="04070015">
      <w:start w:val="1"/>
      <w:numFmt w:val="decimal"/>
      <w:lvlText w:val="(%1)"/>
      <w:lvlJc w:val="left"/>
      <w:pPr>
        <w:ind w:left="720" w:hanging="360"/>
      </w:pPr>
      <w:rPr>
        <w:rFonts w:hint="default"/>
      </w:rPr>
    </w:lvl>
    <w:lvl w:ilvl="1" w:tplc="9EDCF05A">
      <w:start w:val="4"/>
      <w:numFmt w:val="bullet"/>
      <w:lvlText w:val="-"/>
      <w:lvlJc w:val="left"/>
      <w:pPr>
        <w:ind w:left="1440" w:hanging="360"/>
      </w:pPr>
      <w:rPr>
        <w:rFonts w:ascii="Calibri" w:eastAsiaTheme="minorEastAsia"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53827F1"/>
    <w:multiLevelType w:val="hybridMultilevel"/>
    <w:tmpl w:val="1BF2776C"/>
    <w:lvl w:ilvl="0" w:tplc="6240C86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63F18C2"/>
    <w:multiLevelType w:val="hybridMultilevel"/>
    <w:tmpl w:val="0EF05AC8"/>
    <w:lvl w:ilvl="0" w:tplc="04070017">
      <w:start w:val="1"/>
      <w:numFmt w:val="lowerLetter"/>
      <w:lvlText w:val="%1)"/>
      <w:lvlJc w:val="left"/>
      <w:pPr>
        <w:ind w:left="1440" w:hanging="360"/>
      </w:pPr>
    </w:lvl>
    <w:lvl w:ilvl="1" w:tplc="04070017">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1" w15:restartNumberingAfterBreak="0">
    <w:nsid w:val="783272E8"/>
    <w:multiLevelType w:val="hybridMultilevel"/>
    <w:tmpl w:val="AEBAB8A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7C575E85"/>
    <w:multiLevelType w:val="multilevel"/>
    <w:tmpl w:val="D29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9A74B6"/>
    <w:multiLevelType w:val="hybridMultilevel"/>
    <w:tmpl w:val="98847FA4"/>
    <w:lvl w:ilvl="0" w:tplc="04070019">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4" w15:restartNumberingAfterBreak="0">
    <w:nsid w:val="7E15400E"/>
    <w:multiLevelType w:val="hybridMultilevel"/>
    <w:tmpl w:val="3E5842D8"/>
    <w:lvl w:ilvl="0" w:tplc="04070017">
      <w:start w:val="1"/>
      <w:numFmt w:val="lowerLetter"/>
      <w:lvlText w:val="%1)"/>
      <w:lvlJc w:val="left"/>
      <w:pPr>
        <w:ind w:left="720" w:hanging="360"/>
      </w:pPr>
      <w:rPr>
        <w:rFonts w:hint="default"/>
      </w:rPr>
    </w:lvl>
    <w:lvl w:ilvl="1" w:tplc="9EDCF05A">
      <w:start w:val="4"/>
      <w:numFmt w:val="bullet"/>
      <w:lvlText w:val="-"/>
      <w:lvlJc w:val="left"/>
      <w:pPr>
        <w:ind w:left="1440" w:hanging="360"/>
      </w:pPr>
      <w:rPr>
        <w:rFonts w:ascii="Calibri" w:eastAsiaTheme="minorEastAsia"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1"/>
  </w:num>
  <w:num w:numId="3">
    <w:abstractNumId w:val="27"/>
  </w:num>
  <w:num w:numId="4">
    <w:abstractNumId w:val="55"/>
  </w:num>
  <w:num w:numId="5">
    <w:abstractNumId w:val="58"/>
  </w:num>
  <w:num w:numId="6">
    <w:abstractNumId w:val="30"/>
  </w:num>
  <w:num w:numId="7">
    <w:abstractNumId w:val="4"/>
  </w:num>
  <w:num w:numId="8">
    <w:abstractNumId w:val="64"/>
  </w:num>
  <w:num w:numId="9">
    <w:abstractNumId w:val="12"/>
  </w:num>
  <w:num w:numId="10">
    <w:abstractNumId w:val="38"/>
  </w:num>
  <w:num w:numId="11">
    <w:abstractNumId w:val="1"/>
  </w:num>
  <w:num w:numId="12">
    <w:abstractNumId w:val="33"/>
  </w:num>
  <w:num w:numId="13">
    <w:abstractNumId w:val="23"/>
  </w:num>
  <w:num w:numId="14">
    <w:abstractNumId w:val="43"/>
  </w:num>
  <w:num w:numId="15">
    <w:abstractNumId w:val="59"/>
  </w:num>
  <w:num w:numId="16">
    <w:abstractNumId w:val="35"/>
  </w:num>
  <w:num w:numId="17">
    <w:abstractNumId w:val="42"/>
  </w:num>
  <w:num w:numId="18">
    <w:abstractNumId w:val="44"/>
  </w:num>
  <w:num w:numId="19">
    <w:abstractNumId w:val="28"/>
  </w:num>
  <w:num w:numId="20">
    <w:abstractNumId w:val="15"/>
  </w:num>
  <w:num w:numId="21">
    <w:abstractNumId w:val="10"/>
  </w:num>
  <w:num w:numId="22">
    <w:abstractNumId w:val="21"/>
  </w:num>
  <w:num w:numId="23">
    <w:abstractNumId w:val="8"/>
  </w:num>
  <w:num w:numId="24">
    <w:abstractNumId w:val="5"/>
  </w:num>
  <w:num w:numId="25">
    <w:abstractNumId w:val="7"/>
  </w:num>
  <w:num w:numId="26">
    <w:abstractNumId w:val="36"/>
  </w:num>
  <w:num w:numId="27">
    <w:abstractNumId w:val="49"/>
  </w:num>
  <w:num w:numId="28">
    <w:abstractNumId w:val="32"/>
  </w:num>
  <w:num w:numId="29">
    <w:abstractNumId w:val="20"/>
  </w:num>
  <w:num w:numId="30">
    <w:abstractNumId w:val="56"/>
  </w:num>
  <w:num w:numId="31">
    <w:abstractNumId w:val="16"/>
  </w:num>
  <w:num w:numId="32">
    <w:abstractNumId w:val="3"/>
  </w:num>
  <w:num w:numId="33">
    <w:abstractNumId w:val="26"/>
  </w:num>
  <w:num w:numId="34">
    <w:abstractNumId w:val="50"/>
  </w:num>
  <w:num w:numId="35">
    <w:abstractNumId w:val="17"/>
  </w:num>
  <w:num w:numId="36">
    <w:abstractNumId w:val="46"/>
  </w:num>
  <w:num w:numId="37">
    <w:abstractNumId w:val="6"/>
  </w:num>
  <w:num w:numId="38">
    <w:abstractNumId w:val="37"/>
  </w:num>
  <w:num w:numId="39">
    <w:abstractNumId w:val="53"/>
  </w:num>
  <w:num w:numId="40">
    <w:abstractNumId w:val="22"/>
  </w:num>
  <w:num w:numId="41">
    <w:abstractNumId w:val="31"/>
  </w:num>
  <w:num w:numId="42">
    <w:abstractNumId w:val="11"/>
  </w:num>
  <w:num w:numId="43">
    <w:abstractNumId w:val="9"/>
  </w:num>
  <w:num w:numId="44">
    <w:abstractNumId w:val="57"/>
  </w:num>
  <w:num w:numId="45">
    <w:abstractNumId w:val="39"/>
  </w:num>
  <w:num w:numId="46">
    <w:abstractNumId w:val="60"/>
  </w:num>
  <w:num w:numId="47">
    <w:abstractNumId w:val="25"/>
  </w:num>
  <w:num w:numId="48">
    <w:abstractNumId w:val="41"/>
  </w:num>
  <w:num w:numId="49">
    <w:abstractNumId w:val="24"/>
  </w:num>
  <w:num w:numId="50">
    <w:abstractNumId w:val="63"/>
  </w:num>
  <w:num w:numId="51">
    <w:abstractNumId w:val="2"/>
  </w:num>
  <w:num w:numId="52">
    <w:abstractNumId w:val="52"/>
  </w:num>
  <w:num w:numId="53">
    <w:abstractNumId w:val="62"/>
  </w:num>
  <w:num w:numId="54">
    <w:abstractNumId w:val="18"/>
  </w:num>
  <w:num w:numId="55">
    <w:abstractNumId w:val="48"/>
  </w:num>
  <w:num w:numId="56">
    <w:abstractNumId w:val="19"/>
  </w:num>
  <w:num w:numId="57">
    <w:abstractNumId w:val="29"/>
  </w:num>
  <w:num w:numId="58">
    <w:abstractNumId w:val="13"/>
  </w:num>
  <w:num w:numId="59">
    <w:abstractNumId w:val="14"/>
  </w:num>
  <w:num w:numId="60">
    <w:abstractNumId w:val="54"/>
  </w:num>
  <w:num w:numId="61">
    <w:abstractNumId w:val="47"/>
  </w:num>
  <w:num w:numId="62">
    <w:abstractNumId w:val="34"/>
  </w:num>
  <w:num w:numId="63">
    <w:abstractNumId w:val="45"/>
  </w:num>
  <w:num w:numId="64">
    <w:abstractNumId w:val="51"/>
  </w:num>
  <w:num w:numId="6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B9"/>
    <w:rsid w:val="000007E0"/>
    <w:rsid w:val="00000B88"/>
    <w:rsid w:val="000014D8"/>
    <w:rsid w:val="000117E1"/>
    <w:rsid w:val="00012E28"/>
    <w:rsid w:val="00013196"/>
    <w:rsid w:val="00013251"/>
    <w:rsid w:val="00013640"/>
    <w:rsid w:val="000149F8"/>
    <w:rsid w:val="00014F44"/>
    <w:rsid w:val="0001637D"/>
    <w:rsid w:val="00016DAC"/>
    <w:rsid w:val="00021BBE"/>
    <w:rsid w:val="000267FD"/>
    <w:rsid w:val="00030993"/>
    <w:rsid w:val="000316DE"/>
    <w:rsid w:val="000322F9"/>
    <w:rsid w:val="00033380"/>
    <w:rsid w:val="000349C5"/>
    <w:rsid w:val="00034ABB"/>
    <w:rsid w:val="00034B41"/>
    <w:rsid w:val="00035414"/>
    <w:rsid w:val="000408F8"/>
    <w:rsid w:val="00042305"/>
    <w:rsid w:val="00045615"/>
    <w:rsid w:val="000469E5"/>
    <w:rsid w:val="00047277"/>
    <w:rsid w:val="00050E3F"/>
    <w:rsid w:val="000555CE"/>
    <w:rsid w:val="00055659"/>
    <w:rsid w:val="00056129"/>
    <w:rsid w:val="000573D1"/>
    <w:rsid w:val="00061F87"/>
    <w:rsid w:val="00073C7F"/>
    <w:rsid w:val="0007507A"/>
    <w:rsid w:val="000764C2"/>
    <w:rsid w:val="00076C83"/>
    <w:rsid w:val="00077943"/>
    <w:rsid w:val="00080A4B"/>
    <w:rsid w:val="00082DE7"/>
    <w:rsid w:val="00082FF9"/>
    <w:rsid w:val="00083935"/>
    <w:rsid w:val="00084025"/>
    <w:rsid w:val="00086B0F"/>
    <w:rsid w:val="00086EFC"/>
    <w:rsid w:val="00090365"/>
    <w:rsid w:val="00090E43"/>
    <w:rsid w:val="00092274"/>
    <w:rsid w:val="000939B9"/>
    <w:rsid w:val="00094674"/>
    <w:rsid w:val="000A0498"/>
    <w:rsid w:val="000A246D"/>
    <w:rsid w:val="000A2A48"/>
    <w:rsid w:val="000A39FE"/>
    <w:rsid w:val="000A6944"/>
    <w:rsid w:val="000A71E1"/>
    <w:rsid w:val="000B1846"/>
    <w:rsid w:val="000B21CB"/>
    <w:rsid w:val="000B43EF"/>
    <w:rsid w:val="000B5EBC"/>
    <w:rsid w:val="000B7B81"/>
    <w:rsid w:val="000C05AD"/>
    <w:rsid w:val="000C221E"/>
    <w:rsid w:val="000C453D"/>
    <w:rsid w:val="000C6769"/>
    <w:rsid w:val="000D0B74"/>
    <w:rsid w:val="000D1DAA"/>
    <w:rsid w:val="000D1DAC"/>
    <w:rsid w:val="000D2B07"/>
    <w:rsid w:val="000E13D8"/>
    <w:rsid w:val="000E3DC1"/>
    <w:rsid w:val="000E6F67"/>
    <w:rsid w:val="000E77C1"/>
    <w:rsid w:val="000F306D"/>
    <w:rsid w:val="000F3E69"/>
    <w:rsid w:val="000F6394"/>
    <w:rsid w:val="0010037A"/>
    <w:rsid w:val="00100F96"/>
    <w:rsid w:val="00101192"/>
    <w:rsid w:val="001011EF"/>
    <w:rsid w:val="00104C20"/>
    <w:rsid w:val="0011029A"/>
    <w:rsid w:val="001114A3"/>
    <w:rsid w:val="001124C2"/>
    <w:rsid w:val="0011395B"/>
    <w:rsid w:val="00114348"/>
    <w:rsid w:val="001207B0"/>
    <w:rsid w:val="00120EA8"/>
    <w:rsid w:val="0012130C"/>
    <w:rsid w:val="001229E5"/>
    <w:rsid w:val="0012307F"/>
    <w:rsid w:val="00126F33"/>
    <w:rsid w:val="00131754"/>
    <w:rsid w:val="00131D91"/>
    <w:rsid w:val="00132C30"/>
    <w:rsid w:val="00133E31"/>
    <w:rsid w:val="00134E5C"/>
    <w:rsid w:val="001409C8"/>
    <w:rsid w:val="001428C0"/>
    <w:rsid w:val="00142A18"/>
    <w:rsid w:val="001442C3"/>
    <w:rsid w:val="001503E3"/>
    <w:rsid w:val="00152F62"/>
    <w:rsid w:val="001531C6"/>
    <w:rsid w:val="00153910"/>
    <w:rsid w:val="001542D5"/>
    <w:rsid w:val="001543DD"/>
    <w:rsid w:val="00154A7B"/>
    <w:rsid w:val="001558FB"/>
    <w:rsid w:val="00155A94"/>
    <w:rsid w:val="00155AB0"/>
    <w:rsid w:val="00156014"/>
    <w:rsid w:val="00160781"/>
    <w:rsid w:val="00160BFC"/>
    <w:rsid w:val="001612F1"/>
    <w:rsid w:val="00162428"/>
    <w:rsid w:val="00163990"/>
    <w:rsid w:val="001665EB"/>
    <w:rsid w:val="00166DC7"/>
    <w:rsid w:val="001721C9"/>
    <w:rsid w:val="0017355C"/>
    <w:rsid w:val="00173DF4"/>
    <w:rsid w:val="00174F81"/>
    <w:rsid w:val="00176C8B"/>
    <w:rsid w:val="001771EF"/>
    <w:rsid w:val="001844FA"/>
    <w:rsid w:val="00184B0E"/>
    <w:rsid w:val="00184B55"/>
    <w:rsid w:val="00184BEF"/>
    <w:rsid w:val="00186767"/>
    <w:rsid w:val="00192521"/>
    <w:rsid w:val="00192C77"/>
    <w:rsid w:val="0019357A"/>
    <w:rsid w:val="00194C22"/>
    <w:rsid w:val="001973BD"/>
    <w:rsid w:val="001A035A"/>
    <w:rsid w:val="001A3437"/>
    <w:rsid w:val="001A3452"/>
    <w:rsid w:val="001A44E8"/>
    <w:rsid w:val="001A4F3E"/>
    <w:rsid w:val="001A526A"/>
    <w:rsid w:val="001A59C0"/>
    <w:rsid w:val="001A6EBA"/>
    <w:rsid w:val="001A7628"/>
    <w:rsid w:val="001B0550"/>
    <w:rsid w:val="001B1FE1"/>
    <w:rsid w:val="001B2C99"/>
    <w:rsid w:val="001B343B"/>
    <w:rsid w:val="001B5CD7"/>
    <w:rsid w:val="001B5F68"/>
    <w:rsid w:val="001B7332"/>
    <w:rsid w:val="001B79E6"/>
    <w:rsid w:val="001C0008"/>
    <w:rsid w:val="001C12ED"/>
    <w:rsid w:val="001C33D9"/>
    <w:rsid w:val="001C42C1"/>
    <w:rsid w:val="001C5943"/>
    <w:rsid w:val="001C67BE"/>
    <w:rsid w:val="001C682A"/>
    <w:rsid w:val="001D4CF0"/>
    <w:rsid w:val="001D579D"/>
    <w:rsid w:val="001D5C7E"/>
    <w:rsid w:val="001D7182"/>
    <w:rsid w:val="001E02AE"/>
    <w:rsid w:val="001E0CF5"/>
    <w:rsid w:val="001E286A"/>
    <w:rsid w:val="001E40AF"/>
    <w:rsid w:val="001E596F"/>
    <w:rsid w:val="001E5D5B"/>
    <w:rsid w:val="001F168C"/>
    <w:rsid w:val="001F4384"/>
    <w:rsid w:val="001F5FF9"/>
    <w:rsid w:val="0020024F"/>
    <w:rsid w:val="0020069D"/>
    <w:rsid w:val="00201322"/>
    <w:rsid w:val="00201341"/>
    <w:rsid w:val="00201B7D"/>
    <w:rsid w:val="00201C3B"/>
    <w:rsid w:val="00201FAB"/>
    <w:rsid w:val="002020D9"/>
    <w:rsid w:val="002066F5"/>
    <w:rsid w:val="00207ED1"/>
    <w:rsid w:val="00211BD8"/>
    <w:rsid w:val="00211FEB"/>
    <w:rsid w:val="00213591"/>
    <w:rsid w:val="0021660B"/>
    <w:rsid w:val="00224CE8"/>
    <w:rsid w:val="00225AB0"/>
    <w:rsid w:val="0022744F"/>
    <w:rsid w:val="00227485"/>
    <w:rsid w:val="0023276D"/>
    <w:rsid w:val="00235634"/>
    <w:rsid w:val="00240AD2"/>
    <w:rsid w:val="00242C0B"/>
    <w:rsid w:val="002443F1"/>
    <w:rsid w:val="002471AD"/>
    <w:rsid w:val="002476A2"/>
    <w:rsid w:val="00251143"/>
    <w:rsid w:val="002512C4"/>
    <w:rsid w:val="00251E6C"/>
    <w:rsid w:val="0025560B"/>
    <w:rsid w:val="00262B20"/>
    <w:rsid w:val="00262E1E"/>
    <w:rsid w:val="00264EF4"/>
    <w:rsid w:val="0027229C"/>
    <w:rsid w:val="00274BA7"/>
    <w:rsid w:val="002762A6"/>
    <w:rsid w:val="002765D3"/>
    <w:rsid w:val="00277839"/>
    <w:rsid w:val="00277AF4"/>
    <w:rsid w:val="00280A8D"/>
    <w:rsid w:val="00282385"/>
    <w:rsid w:val="00286B13"/>
    <w:rsid w:val="00286C4B"/>
    <w:rsid w:val="00287B33"/>
    <w:rsid w:val="00291889"/>
    <w:rsid w:val="00291945"/>
    <w:rsid w:val="002921FE"/>
    <w:rsid w:val="002A0446"/>
    <w:rsid w:val="002A255B"/>
    <w:rsid w:val="002A3152"/>
    <w:rsid w:val="002A40C8"/>
    <w:rsid w:val="002A7EDC"/>
    <w:rsid w:val="002B0906"/>
    <w:rsid w:val="002B677E"/>
    <w:rsid w:val="002C0329"/>
    <w:rsid w:val="002C3FE0"/>
    <w:rsid w:val="002C6EBF"/>
    <w:rsid w:val="002D139B"/>
    <w:rsid w:val="002D6D62"/>
    <w:rsid w:val="002E3786"/>
    <w:rsid w:val="002E403B"/>
    <w:rsid w:val="002E467B"/>
    <w:rsid w:val="002E4F26"/>
    <w:rsid w:val="002E7614"/>
    <w:rsid w:val="002E7C42"/>
    <w:rsid w:val="002E7F8C"/>
    <w:rsid w:val="002F1D9C"/>
    <w:rsid w:val="002F4B34"/>
    <w:rsid w:val="002F5C85"/>
    <w:rsid w:val="002F63CF"/>
    <w:rsid w:val="002F69AD"/>
    <w:rsid w:val="002F6F66"/>
    <w:rsid w:val="002F7644"/>
    <w:rsid w:val="002F7833"/>
    <w:rsid w:val="00300894"/>
    <w:rsid w:val="0030311B"/>
    <w:rsid w:val="0030482B"/>
    <w:rsid w:val="0030499E"/>
    <w:rsid w:val="00305278"/>
    <w:rsid w:val="00305B2D"/>
    <w:rsid w:val="00310249"/>
    <w:rsid w:val="00311EFB"/>
    <w:rsid w:val="0031226C"/>
    <w:rsid w:val="00312D34"/>
    <w:rsid w:val="00312DE5"/>
    <w:rsid w:val="0031434B"/>
    <w:rsid w:val="00314545"/>
    <w:rsid w:val="00314ECE"/>
    <w:rsid w:val="00315BB0"/>
    <w:rsid w:val="00317374"/>
    <w:rsid w:val="00317DAE"/>
    <w:rsid w:val="00317E24"/>
    <w:rsid w:val="00320A25"/>
    <w:rsid w:val="00322082"/>
    <w:rsid w:val="003224A5"/>
    <w:rsid w:val="00323B7D"/>
    <w:rsid w:val="00325BB7"/>
    <w:rsid w:val="00330489"/>
    <w:rsid w:val="00330B47"/>
    <w:rsid w:val="00332A76"/>
    <w:rsid w:val="00334DB9"/>
    <w:rsid w:val="003414DC"/>
    <w:rsid w:val="00341C0B"/>
    <w:rsid w:val="00343AC5"/>
    <w:rsid w:val="0034465B"/>
    <w:rsid w:val="00352204"/>
    <w:rsid w:val="00352B6F"/>
    <w:rsid w:val="00356DE3"/>
    <w:rsid w:val="00356E2B"/>
    <w:rsid w:val="003575D0"/>
    <w:rsid w:val="00361EA8"/>
    <w:rsid w:val="00362A5D"/>
    <w:rsid w:val="003662C3"/>
    <w:rsid w:val="00366721"/>
    <w:rsid w:val="0037092B"/>
    <w:rsid w:val="00371013"/>
    <w:rsid w:val="003737FC"/>
    <w:rsid w:val="00373DC2"/>
    <w:rsid w:val="0037449F"/>
    <w:rsid w:val="00376334"/>
    <w:rsid w:val="0037638F"/>
    <w:rsid w:val="003763EF"/>
    <w:rsid w:val="00377E35"/>
    <w:rsid w:val="00380470"/>
    <w:rsid w:val="0038058E"/>
    <w:rsid w:val="00380C9C"/>
    <w:rsid w:val="00382811"/>
    <w:rsid w:val="003843F6"/>
    <w:rsid w:val="00386F40"/>
    <w:rsid w:val="00390776"/>
    <w:rsid w:val="00390E30"/>
    <w:rsid w:val="00392606"/>
    <w:rsid w:val="003A1CA2"/>
    <w:rsid w:val="003A469D"/>
    <w:rsid w:val="003A584A"/>
    <w:rsid w:val="003A775F"/>
    <w:rsid w:val="003B4E87"/>
    <w:rsid w:val="003B55D8"/>
    <w:rsid w:val="003B6AED"/>
    <w:rsid w:val="003B6E54"/>
    <w:rsid w:val="003C377A"/>
    <w:rsid w:val="003C5ECE"/>
    <w:rsid w:val="003C7393"/>
    <w:rsid w:val="003D18AC"/>
    <w:rsid w:val="003D42F3"/>
    <w:rsid w:val="003D5178"/>
    <w:rsid w:val="003D5FA7"/>
    <w:rsid w:val="003D6061"/>
    <w:rsid w:val="003E1ACA"/>
    <w:rsid w:val="003E3987"/>
    <w:rsid w:val="003E4021"/>
    <w:rsid w:val="003E40DB"/>
    <w:rsid w:val="003E7017"/>
    <w:rsid w:val="003E7EC2"/>
    <w:rsid w:val="003F115D"/>
    <w:rsid w:val="003F1BEE"/>
    <w:rsid w:val="003F3BDA"/>
    <w:rsid w:val="003F549F"/>
    <w:rsid w:val="003F63BE"/>
    <w:rsid w:val="0040077D"/>
    <w:rsid w:val="0040167D"/>
    <w:rsid w:val="00402936"/>
    <w:rsid w:val="00402D12"/>
    <w:rsid w:val="00403270"/>
    <w:rsid w:val="004035DF"/>
    <w:rsid w:val="00406258"/>
    <w:rsid w:val="0040708F"/>
    <w:rsid w:val="0041252B"/>
    <w:rsid w:val="00413566"/>
    <w:rsid w:val="00415BBD"/>
    <w:rsid w:val="00415E48"/>
    <w:rsid w:val="004170E2"/>
    <w:rsid w:val="004173BA"/>
    <w:rsid w:val="00420DA7"/>
    <w:rsid w:val="004219E4"/>
    <w:rsid w:val="00427056"/>
    <w:rsid w:val="00430676"/>
    <w:rsid w:val="00433EC9"/>
    <w:rsid w:val="004343F3"/>
    <w:rsid w:val="00435033"/>
    <w:rsid w:val="00436E21"/>
    <w:rsid w:val="00436F42"/>
    <w:rsid w:val="00441732"/>
    <w:rsid w:val="004430E6"/>
    <w:rsid w:val="0044323D"/>
    <w:rsid w:val="0044357C"/>
    <w:rsid w:val="00445167"/>
    <w:rsid w:val="00446597"/>
    <w:rsid w:val="0044777E"/>
    <w:rsid w:val="0045151E"/>
    <w:rsid w:val="004525A9"/>
    <w:rsid w:val="00453041"/>
    <w:rsid w:val="0045463B"/>
    <w:rsid w:val="004565BA"/>
    <w:rsid w:val="00456EC0"/>
    <w:rsid w:val="00461459"/>
    <w:rsid w:val="004653FA"/>
    <w:rsid w:val="00467039"/>
    <w:rsid w:val="004679BB"/>
    <w:rsid w:val="00467B96"/>
    <w:rsid w:val="00472DB9"/>
    <w:rsid w:val="004736D4"/>
    <w:rsid w:val="00473A8F"/>
    <w:rsid w:val="004753D5"/>
    <w:rsid w:val="00476D17"/>
    <w:rsid w:val="00480291"/>
    <w:rsid w:val="00483D01"/>
    <w:rsid w:val="00490A04"/>
    <w:rsid w:val="00490DFC"/>
    <w:rsid w:val="00491191"/>
    <w:rsid w:val="004913D7"/>
    <w:rsid w:val="00492BF0"/>
    <w:rsid w:val="0049522C"/>
    <w:rsid w:val="004A260D"/>
    <w:rsid w:val="004A3BA1"/>
    <w:rsid w:val="004A42F0"/>
    <w:rsid w:val="004A6A2D"/>
    <w:rsid w:val="004A7E44"/>
    <w:rsid w:val="004B0C33"/>
    <w:rsid w:val="004B16A6"/>
    <w:rsid w:val="004B406D"/>
    <w:rsid w:val="004B6D08"/>
    <w:rsid w:val="004C401E"/>
    <w:rsid w:val="004C5AB4"/>
    <w:rsid w:val="004C7336"/>
    <w:rsid w:val="004D0ABE"/>
    <w:rsid w:val="004D1177"/>
    <w:rsid w:val="004D2510"/>
    <w:rsid w:val="004D7013"/>
    <w:rsid w:val="004D7757"/>
    <w:rsid w:val="004D787F"/>
    <w:rsid w:val="004D7AD4"/>
    <w:rsid w:val="004E32A3"/>
    <w:rsid w:val="004E4811"/>
    <w:rsid w:val="004E57E5"/>
    <w:rsid w:val="004E5A0A"/>
    <w:rsid w:val="004E7C70"/>
    <w:rsid w:val="004F0053"/>
    <w:rsid w:val="004F15A3"/>
    <w:rsid w:val="004F19BA"/>
    <w:rsid w:val="004F3BBA"/>
    <w:rsid w:val="004F5180"/>
    <w:rsid w:val="004F536A"/>
    <w:rsid w:val="004F7B57"/>
    <w:rsid w:val="005010E9"/>
    <w:rsid w:val="00502ECC"/>
    <w:rsid w:val="00504667"/>
    <w:rsid w:val="00504AB3"/>
    <w:rsid w:val="00505843"/>
    <w:rsid w:val="00505EAE"/>
    <w:rsid w:val="00506FDF"/>
    <w:rsid w:val="0051124F"/>
    <w:rsid w:val="005113E1"/>
    <w:rsid w:val="00521324"/>
    <w:rsid w:val="0052279E"/>
    <w:rsid w:val="005236AD"/>
    <w:rsid w:val="0052495C"/>
    <w:rsid w:val="00526316"/>
    <w:rsid w:val="00526324"/>
    <w:rsid w:val="005263D2"/>
    <w:rsid w:val="00527174"/>
    <w:rsid w:val="00527C3F"/>
    <w:rsid w:val="00530BDE"/>
    <w:rsid w:val="005317ED"/>
    <w:rsid w:val="00533B4B"/>
    <w:rsid w:val="0053443F"/>
    <w:rsid w:val="00534AEC"/>
    <w:rsid w:val="00535E2A"/>
    <w:rsid w:val="005407A6"/>
    <w:rsid w:val="005419B2"/>
    <w:rsid w:val="005421DE"/>
    <w:rsid w:val="00543CF2"/>
    <w:rsid w:val="0054597D"/>
    <w:rsid w:val="005472BE"/>
    <w:rsid w:val="00547F4D"/>
    <w:rsid w:val="00550EB7"/>
    <w:rsid w:val="00553516"/>
    <w:rsid w:val="00553BC0"/>
    <w:rsid w:val="00554B9F"/>
    <w:rsid w:val="005653AB"/>
    <w:rsid w:val="005657F8"/>
    <w:rsid w:val="00567EFD"/>
    <w:rsid w:val="00571149"/>
    <w:rsid w:val="00572166"/>
    <w:rsid w:val="00572DA4"/>
    <w:rsid w:val="00574EED"/>
    <w:rsid w:val="00575836"/>
    <w:rsid w:val="0057765D"/>
    <w:rsid w:val="0058085B"/>
    <w:rsid w:val="00582B0C"/>
    <w:rsid w:val="00582F52"/>
    <w:rsid w:val="00583B0A"/>
    <w:rsid w:val="00583E88"/>
    <w:rsid w:val="00585D94"/>
    <w:rsid w:val="00586284"/>
    <w:rsid w:val="00587846"/>
    <w:rsid w:val="00590841"/>
    <w:rsid w:val="00591803"/>
    <w:rsid w:val="00591EB4"/>
    <w:rsid w:val="005928B7"/>
    <w:rsid w:val="00592F49"/>
    <w:rsid w:val="0059368B"/>
    <w:rsid w:val="00594F96"/>
    <w:rsid w:val="00597C01"/>
    <w:rsid w:val="005A092D"/>
    <w:rsid w:val="005A1035"/>
    <w:rsid w:val="005A10B5"/>
    <w:rsid w:val="005A4739"/>
    <w:rsid w:val="005A6FDC"/>
    <w:rsid w:val="005B1BC2"/>
    <w:rsid w:val="005B2038"/>
    <w:rsid w:val="005B2D1F"/>
    <w:rsid w:val="005B6B4D"/>
    <w:rsid w:val="005B73C2"/>
    <w:rsid w:val="005C40C2"/>
    <w:rsid w:val="005C583A"/>
    <w:rsid w:val="005C6C39"/>
    <w:rsid w:val="005D109F"/>
    <w:rsid w:val="005D1A84"/>
    <w:rsid w:val="005D2BAB"/>
    <w:rsid w:val="005D37A7"/>
    <w:rsid w:val="005D6010"/>
    <w:rsid w:val="005E00A2"/>
    <w:rsid w:val="005E051B"/>
    <w:rsid w:val="005E09A8"/>
    <w:rsid w:val="005E34D8"/>
    <w:rsid w:val="005E4615"/>
    <w:rsid w:val="005E58AC"/>
    <w:rsid w:val="005E784B"/>
    <w:rsid w:val="005E78A9"/>
    <w:rsid w:val="005F33A7"/>
    <w:rsid w:val="005F3FD4"/>
    <w:rsid w:val="005F419B"/>
    <w:rsid w:val="005F43F9"/>
    <w:rsid w:val="00600277"/>
    <w:rsid w:val="00602721"/>
    <w:rsid w:val="00603665"/>
    <w:rsid w:val="006042BA"/>
    <w:rsid w:val="006043C4"/>
    <w:rsid w:val="006046A4"/>
    <w:rsid w:val="0060496C"/>
    <w:rsid w:val="00614379"/>
    <w:rsid w:val="006200E2"/>
    <w:rsid w:val="006233E0"/>
    <w:rsid w:val="00627618"/>
    <w:rsid w:val="0063067D"/>
    <w:rsid w:val="006318D0"/>
    <w:rsid w:val="006336C3"/>
    <w:rsid w:val="00635E98"/>
    <w:rsid w:val="006367C2"/>
    <w:rsid w:val="00636F6E"/>
    <w:rsid w:val="00637F62"/>
    <w:rsid w:val="006404B4"/>
    <w:rsid w:val="0064360B"/>
    <w:rsid w:val="00644488"/>
    <w:rsid w:val="00646413"/>
    <w:rsid w:val="006502D5"/>
    <w:rsid w:val="0065133C"/>
    <w:rsid w:val="006532AD"/>
    <w:rsid w:val="006541B5"/>
    <w:rsid w:val="006547C3"/>
    <w:rsid w:val="0066081A"/>
    <w:rsid w:val="00660BFF"/>
    <w:rsid w:val="00661412"/>
    <w:rsid w:val="00661CA3"/>
    <w:rsid w:val="00661F2C"/>
    <w:rsid w:val="00662986"/>
    <w:rsid w:val="0066376A"/>
    <w:rsid w:val="006646A0"/>
    <w:rsid w:val="00665DFB"/>
    <w:rsid w:val="00667C41"/>
    <w:rsid w:val="00670406"/>
    <w:rsid w:val="00670B01"/>
    <w:rsid w:val="00672E57"/>
    <w:rsid w:val="006750BF"/>
    <w:rsid w:val="0068049C"/>
    <w:rsid w:val="00680A92"/>
    <w:rsid w:val="006813A5"/>
    <w:rsid w:val="0068195D"/>
    <w:rsid w:val="00684A46"/>
    <w:rsid w:val="00684E61"/>
    <w:rsid w:val="0068514F"/>
    <w:rsid w:val="00686436"/>
    <w:rsid w:val="00687886"/>
    <w:rsid w:val="00690083"/>
    <w:rsid w:val="0069301E"/>
    <w:rsid w:val="006942DD"/>
    <w:rsid w:val="0069599D"/>
    <w:rsid w:val="00697407"/>
    <w:rsid w:val="0069760B"/>
    <w:rsid w:val="006A543B"/>
    <w:rsid w:val="006B0380"/>
    <w:rsid w:val="006B1CD0"/>
    <w:rsid w:val="006B52A5"/>
    <w:rsid w:val="006B57DA"/>
    <w:rsid w:val="006B70EE"/>
    <w:rsid w:val="006C14EB"/>
    <w:rsid w:val="006C16A7"/>
    <w:rsid w:val="006C170D"/>
    <w:rsid w:val="006C3EBD"/>
    <w:rsid w:val="006C62FD"/>
    <w:rsid w:val="006C73C0"/>
    <w:rsid w:val="006D1578"/>
    <w:rsid w:val="006D5D47"/>
    <w:rsid w:val="006D6111"/>
    <w:rsid w:val="006D77AD"/>
    <w:rsid w:val="006E05A7"/>
    <w:rsid w:val="006E09D0"/>
    <w:rsid w:val="006E1B5E"/>
    <w:rsid w:val="006E33C2"/>
    <w:rsid w:val="006F1D06"/>
    <w:rsid w:val="006F46D0"/>
    <w:rsid w:val="006F4CE9"/>
    <w:rsid w:val="006F6C53"/>
    <w:rsid w:val="006F74E3"/>
    <w:rsid w:val="006F7C9A"/>
    <w:rsid w:val="006F7D59"/>
    <w:rsid w:val="00700608"/>
    <w:rsid w:val="007010D7"/>
    <w:rsid w:val="0070194A"/>
    <w:rsid w:val="0070231F"/>
    <w:rsid w:val="007035A1"/>
    <w:rsid w:val="00703EFE"/>
    <w:rsid w:val="00705682"/>
    <w:rsid w:val="007100F7"/>
    <w:rsid w:val="00711D6C"/>
    <w:rsid w:val="00711F42"/>
    <w:rsid w:val="00712DC1"/>
    <w:rsid w:val="00713983"/>
    <w:rsid w:val="00715E0A"/>
    <w:rsid w:val="0072129B"/>
    <w:rsid w:val="00721672"/>
    <w:rsid w:val="00723220"/>
    <w:rsid w:val="00724B6E"/>
    <w:rsid w:val="00726AE1"/>
    <w:rsid w:val="00727A86"/>
    <w:rsid w:val="007320D8"/>
    <w:rsid w:val="00732261"/>
    <w:rsid w:val="00733475"/>
    <w:rsid w:val="00734FF7"/>
    <w:rsid w:val="0073611E"/>
    <w:rsid w:val="0073644B"/>
    <w:rsid w:val="007411F5"/>
    <w:rsid w:val="00743A22"/>
    <w:rsid w:val="00744ABC"/>
    <w:rsid w:val="00745B78"/>
    <w:rsid w:val="00746CDE"/>
    <w:rsid w:val="00753FB4"/>
    <w:rsid w:val="00754EBF"/>
    <w:rsid w:val="007569C0"/>
    <w:rsid w:val="007569F2"/>
    <w:rsid w:val="007605FB"/>
    <w:rsid w:val="00760FF3"/>
    <w:rsid w:val="0076170D"/>
    <w:rsid w:val="007631B2"/>
    <w:rsid w:val="00763F97"/>
    <w:rsid w:val="007646E7"/>
    <w:rsid w:val="00765B90"/>
    <w:rsid w:val="007661A6"/>
    <w:rsid w:val="00766F23"/>
    <w:rsid w:val="00766F26"/>
    <w:rsid w:val="00767FB9"/>
    <w:rsid w:val="00771956"/>
    <w:rsid w:val="007733FC"/>
    <w:rsid w:val="007803AE"/>
    <w:rsid w:val="00782188"/>
    <w:rsid w:val="00784293"/>
    <w:rsid w:val="0078625B"/>
    <w:rsid w:val="00787FC5"/>
    <w:rsid w:val="00790493"/>
    <w:rsid w:val="00790A80"/>
    <w:rsid w:val="00794849"/>
    <w:rsid w:val="00795939"/>
    <w:rsid w:val="00797016"/>
    <w:rsid w:val="007A5933"/>
    <w:rsid w:val="007A79DF"/>
    <w:rsid w:val="007B1721"/>
    <w:rsid w:val="007B2C82"/>
    <w:rsid w:val="007B477E"/>
    <w:rsid w:val="007B50E3"/>
    <w:rsid w:val="007B71EA"/>
    <w:rsid w:val="007C0B1E"/>
    <w:rsid w:val="007C1663"/>
    <w:rsid w:val="007C2725"/>
    <w:rsid w:val="007C3818"/>
    <w:rsid w:val="007C3C4C"/>
    <w:rsid w:val="007C7D21"/>
    <w:rsid w:val="007D2364"/>
    <w:rsid w:val="007D640F"/>
    <w:rsid w:val="007D6631"/>
    <w:rsid w:val="007D6680"/>
    <w:rsid w:val="007D668D"/>
    <w:rsid w:val="007D6B5B"/>
    <w:rsid w:val="007E0581"/>
    <w:rsid w:val="007E2195"/>
    <w:rsid w:val="007E22CC"/>
    <w:rsid w:val="007E28F0"/>
    <w:rsid w:val="007E4DEE"/>
    <w:rsid w:val="007E66E0"/>
    <w:rsid w:val="007F0605"/>
    <w:rsid w:val="007F0DDE"/>
    <w:rsid w:val="007F7E39"/>
    <w:rsid w:val="00803B43"/>
    <w:rsid w:val="008052A9"/>
    <w:rsid w:val="0080642F"/>
    <w:rsid w:val="008065AC"/>
    <w:rsid w:val="00806CAE"/>
    <w:rsid w:val="00810302"/>
    <w:rsid w:val="00810428"/>
    <w:rsid w:val="00810476"/>
    <w:rsid w:val="00810ED2"/>
    <w:rsid w:val="00812552"/>
    <w:rsid w:val="008133DA"/>
    <w:rsid w:val="00817145"/>
    <w:rsid w:val="00820C8F"/>
    <w:rsid w:val="00824952"/>
    <w:rsid w:val="00824D1B"/>
    <w:rsid w:val="0082662B"/>
    <w:rsid w:val="00827643"/>
    <w:rsid w:val="008305DC"/>
    <w:rsid w:val="00830781"/>
    <w:rsid w:val="00831575"/>
    <w:rsid w:val="008316BA"/>
    <w:rsid w:val="008347A3"/>
    <w:rsid w:val="00841712"/>
    <w:rsid w:val="00841A76"/>
    <w:rsid w:val="00843608"/>
    <w:rsid w:val="00845464"/>
    <w:rsid w:val="008468EF"/>
    <w:rsid w:val="008500F7"/>
    <w:rsid w:val="008505EF"/>
    <w:rsid w:val="00851BA9"/>
    <w:rsid w:val="00853B12"/>
    <w:rsid w:val="00853BEE"/>
    <w:rsid w:val="00855FED"/>
    <w:rsid w:val="00857158"/>
    <w:rsid w:val="00860E58"/>
    <w:rsid w:val="00861043"/>
    <w:rsid w:val="00863B3F"/>
    <w:rsid w:val="00864702"/>
    <w:rsid w:val="00864D7F"/>
    <w:rsid w:val="00864F0C"/>
    <w:rsid w:val="00866C49"/>
    <w:rsid w:val="00867B1F"/>
    <w:rsid w:val="00867D7C"/>
    <w:rsid w:val="00873BE5"/>
    <w:rsid w:val="00874410"/>
    <w:rsid w:val="00874E3A"/>
    <w:rsid w:val="00876B92"/>
    <w:rsid w:val="008771E8"/>
    <w:rsid w:val="00877C26"/>
    <w:rsid w:val="00880DF7"/>
    <w:rsid w:val="008813DC"/>
    <w:rsid w:val="00884DB9"/>
    <w:rsid w:val="008855FF"/>
    <w:rsid w:val="0089164D"/>
    <w:rsid w:val="008927A0"/>
    <w:rsid w:val="00892C49"/>
    <w:rsid w:val="00893973"/>
    <w:rsid w:val="0089417B"/>
    <w:rsid w:val="00894272"/>
    <w:rsid w:val="00896843"/>
    <w:rsid w:val="00897ACF"/>
    <w:rsid w:val="008A32E2"/>
    <w:rsid w:val="008A3895"/>
    <w:rsid w:val="008A4550"/>
    <w:rsid w:val="008A459C"/>
    <w:rsid w:val="008B3FE1"/>
    <w:rsid w:val="008B4D60"/>
    <w:rsid w:val="008B5277"/>
    <w:rsid w:val="008C2D0A"/>
    <w:rsid w:val="008C4FE3"/>
    <w:rsid w:val="008C7AC2"/>
    <w:rsid w:val="008C7C97"/>
    <w:rsid w:val="008D011E"/>
    <w:rsid w:val="008D0CFC"/>
    <w:rsid w:val="008D125C"/>
    <w:rsid w:val="008D2768"/>
    <w:rsid w:val="008D7820"/>
    <w:rsid w:val="008E0719"/>
    <w:rsid w:val="008E4365"/>
    <w:rsid w:val="008E4F3B"/>
    <w:rsid w:val="008F09E3"/>
    <w:rsid w:val="008F3819"/>
    <w:rsid w:val="008F3F19"/>
    <w:rsid w:val="008F466A"/>
    <w:rsid w:val="008F48F4"/>
    <w:rsid w:val="008F7FC9"/>
    <w:rsid w:val="0090121C"/>
    <w:rsid w:val="009115CD"/>
    <w:rsid w:val="00922298"/>
    <w:rsid w:val="00923CC4"/>
    <w:rsid w:val="00924093"/>
    <w:rsid w:val="0092542D"/>
    <w:rsid w:val="00926693"/>
    <w:rsid w:val="00927D1B"/>
    <w:rsid w:val="009313E5"/>
    <w:rsid w:val="0093199E"/>
    <w:rsid w:val="00931EDA"/>
    <w:rsid w:val="00933870"/>
    <w:rsid w:val="0093643F"/>
    <w:rsid w:val="00936FAB"/>
    <w:rsid w:val="009410F9"/>
    <w:rsid w:val="009412E7"/>
    <w:rsid w:val="00942153"/>
    <w:rsid w:val="00943613"/>
    <w:rsid w:val="00943E5C"/>
    <w:rsid w:val="00945641"/>
    <w:rsid w:val="009506DB"/>
    <w:rsid w:val="0095479E"/>
    <w:rsid w:val="00956DF1"/>
    <w:rsid w:val="00957D63"/>
    <w:rsid w:val="00957F89"/>
    <w:rsid w:val="00962047"/>
    <w:rsid w:val="00962134"/>
    <w:rsid w:val="00962379"/>
    <w:rsid w:val="00963F52"/>
    <w:rsid w:val="00965395"/>
    <w:rsid w:val="00967DCE"/>
    <w:rsid w:val="009727C6"/>
    <w:rsid w:val="00972983"/>
    <w:rsid w:val="00983A62"/>
    <w:rsid w:val="00985A6F"/>
    <w:rsid w:val="00986181"/>
    <w:rsid w:val="00986A34"/>
    <w:rsid w:val="00986E0F"/>
    <w:rsid w:val="00987D54"/>
    <w:rsid w:val="00991092"/>
    <w:rsid w:val="00991558"/>
    <w:rsid w:val="00994FB6"/>
    <w:rsid w:val="00995BCE"/>
    <w:rsid w:val="00996E73"/>
    <w:rsid w:val="00996F4E"/>
    <w:rsid w:val="009A043E"/>
    <w:rsid w:val="009A1BA8"/>
    <w:rsid w:val="009A2312"/>
    <w:rsid w:val="009A3608"/>
    <w:rsid w:val="009A5966"/>
    <w:rsid w:val="009A620C"/>
    <w:rsid w:val="009A7F86"/>
    <w:rsid w:val="009B03DD"/>
    <w:rsid w:val="009B1404"/>
    <w:rsid w:val="009B1B96"/>
    <w:rsid w:val="009B221D"/>
    <w:rsid w:val="009B2388"/>
    <w:rsid w:val="009B2437"/>
    <w:rsid w:val="009B2CF9"/>
    <w:rsid w:val="009B2FAA"/>
    <w:rsid w:val="009B3197"/>
    <w:rsid w:val="009B4D84"/>
    <w:rsid w:val="009B5A65"/>
    <w:rsid w:val="009B5AF8"/>
    <w:rsid w:val="009B6A37"/>
    <w:rsid w:val="009B7E7B"/>
    <w:rsid w:val="009C4418"/>
    <w:rsid w:val="009D148A"/>
    <w:rsid w:val="009D2692"/>
    <w:rsid w:val="009D5CE9"/>
    <w:rsid w:val="009D76D8"/>
    <w:rsid w:val="009D780F"/>
    <w:rsid w:val="009D7B76"/>
    <w:rsid w:val="009F163A"/>
    <w:rsid w:val="009F586C"/>
    <w:rsid w:val="009F59CF"/>
    <w:rsid w:val="009F6007"/>
    <w:rsid w:val="009F6AB2"/>
    <w:rsid w:val="00A05AB4"/>
    <w:rsid w:val="00A061BB"/>
    <w:rsid w:val="00A072B3"/>
    <w:rsid w:val="00A12D05"/>
    <w:rsid w:val="00A133C1"/>
    <w:rsid w:val="00A13908"/>
    <w:rsid w:val="00A13CFF"/>
    <w:rsid w:val="00A1480C"/>
    <w:rsid w:val="00A14C23"/>
    <w:rsid w:val="00A16430"/>
    <w:rsid w:val="00A25F35"/>
    <w:rsid w:val="00A27791"/>
    <w:rsid w:val="00A409B6"/>
    <w:rsid w:val="00A41B21"/>
    <w:rsid w:val="00A44C07"/>
    <w:rsid w:val="00A44D07"/>
    <w:rsid w:val="00A508A2"/>
    <w:rsid w:val="00A509A8"/>
    <w:rsid w:val="00A5146F"/>
    <w:rsid w:val="00A52AA7"/>
    <w:rsid w:val="00A5358E"/>
    <w:rsid w:val="00A54F23"/>
    <w:rsid w:val="00A55BB7"/>
    <w:rsid w:val="00A60C47"/>
    <w:rsid w:val="00A62D9A"/>
    <w:rsid w:val="00A63081"/>
    <w:rsid w:val="00A63819"/>
    <w:rsid w:val="00A7034F"/>
    <w:rsid w:val="00A71ACA"/>
    <w:rsid w:val="00A72DCD"/>
    <w:rsid w:val="00A733E1"/>
    <w:rsid w:val="00A74B4C"/>
    <w:rsid w:val="00A7554C"/>
    <w:rsid w:val="00A75A65"/>
    <w:rsid w:val="00A761E3"/>
    <w:rsid w:val="00A80073"/>
    <w:rsid w:val="00A81B3D"/>
    <w:rsid w:val="00A82DBF"/>
    <w:rsid w:val="00A832FB"/>
    <w:rsid w:val="00A833A7"/>
    <w:rsid w:val="00A8789C"/>
    <w:rsid w:val="00A909F7"/>
    <w:rsid w:val="00A91737"/>
    <w:rsid w:val="00A9184E"/>
    <w:rsid w:val="00A921DD"/>
    <w:rsid w:val="00A971F6"/>
    <w:rsid w:val="00A97239"/>
    <w:rsid w:val="00A97C7F"/>
    <w:rsid w:val="00AA12CE"/>
    <w:rsid w:val="00AA16B0"/>
    <w:rsid w:val="00AA24C1"/>
    <w:rsid w:val="00AA2921"/>
    <w:rsid w:val="00AA3131"/>
    <w:rsid w:val="00AA3190"/>
    <w:rsid w:val="00AA4078"/>
    <w:rsid w:val="00AA68EF"/>
    <w:rsid w:val="00AB2CAD"/>
    <w:rsid w:val="00AB607A"/>
    <w:rsid w:val="00AC08FC"/>
    <w:rsid w:val="00AC0B6F"/>
    <w:rsid w:val="00AC2678"/>
    <w:rsid w:val="00AC6005"/>
    <w:rsid w:val="00AC6551"/>
    <w:rsid w:val="00AC6C4D"/>
    <w:rsid w:val="00AC74C1"/>
    <w:rsid w:val="00AD0B12"/>
    <w:rsid w:val="00AD0E33"/>
    <w:rsid w:val="00AD1DE5"/>
    <w:rsid w:val="00AD2019"/>
    <w:rsid w:val="00AD2C61"/>
    <w:rsid w:val="00AD2E60"/>
    <w:rsid w:val="00AD6115"/>
    <w:rsid w:val="00AD6E09"/>
    <w:rsid w:val="00AD757B"/>
    <w:rsid w:val="00AD7A40"/>
    <w:rsid w:val="00AE1CEC"/>
    <w:rsid w:val="00AE4787"/>
    <w:rsid w:val="00AE50BF"/>
    <w:rsid w:val="00AF1E92"/>
    <w:rsid w:val="00AF28F0"/>
    <w:rsid w:val="00AF3B60"/>
    <w:rsid w:val="00AF4874"/>
    <w:rsid w:val="00B03491"/>
    <w:rsid w:val="00B05304"/>
    <w:rsid w:val="00B11F1D"/>
    <w:rsid w:val="00B12782"/>
    <w:rsid w:val="00B13F73"/>
    <w:rsid w:val="00B160B3"/>
    <w:rsid w:val="00B16845"/>
    <w:rsid w:val="00B236E1"/>
    <w:rsid w:val="00B2425B"/>
    <w:rsid w:val="00B26305"/>
    <w:rsid w:val="00B301B6"/>
    <w:rsid w:val="00B3097B"/>
    <w:rsid w:val="00B31494"/>
    <w:rsid w:val="00B31A0D"/>
    <w:rsid w:val="00B33113"/>
    <w:rsid w:val="00B337FE"/>
    <w:rsid w:val="00B34337"/>
    <w:rsid w:val="00B356FF"/>
    <w:rsid w:val="00B37536"/>
    <w:rsid w:val="00B4086C"/>
    <w:rsid w:val="00B41C59"/>
    <w:rsid w:val="00B42247"/>
    <w:rsid w:val="00B43971"/>
    <w:rsid w:val="00B45D48"/>
    <w:rsid w:val="00B47531"/>
    <w:rsid w:val="00B47692"/>
    <w:rsid w:val="00B5061F"/>
    <w:rsid w:val="00B50E49"/>
    <w:rsid w:val="00B5472C"/>
    <w:rsid w:val="00B54FA5"/>
    <w:rsid w:val="00B56C1A"/>
    <w:rsid w:val="00B571EA"/>
    <w:rsid w:val="00B575A9"/>
    <w:rsid w:val="00B6067E"/>
    <w:rsid w:val="00B62711"/>
    <w:rsid w:val="00B6654A"/>
    <w:rsid w:val="00B704E6"/>
    <w:rsid w:val="00B70F1D"/>
    <w:rsid w:val="00B72135"/>
    <w:rsid w:val="00B75706"/>
    <w:rsid w:val="00B8207D"/>
    <w:rsid w:val="00B82092"/>
    <w:rsid w:val="00B90217"/>
    <w:rsid w:val="00B90F2B"/>
    <w:rsid w:val="00B910EB"/>
    <w:rsid w:val="00B91133"/>
    <w:rsid w:val="00B91E68"/>
    <w:rsid w:val="00B92635"/>
    <w:rsid w:val="00B944FC"/>
    <w:rsid w:val="00B96482"/>
    <w:rsid w:val="00B96DB8"/>
    <w:rsid w:val="00BA0E8F"/>
    <w:rsid w:val="00BA0FBD"/>
    <w:rsid w:val="00BA133B"/>
    <w:rsid w:val="00BA245A"/>
    <w:rsid w:val="00BA2D55"/>
    <w:rsid w:val="00BA2FB9"/>
    <w:rsid w:val="00BA313A"/>
    <w:rsid w:val="00BA3190"/>
    <w:rsid w:val="00BA4130"/>
    <w:rsid w:val="00BA670F"/>
    <w:rsid w:val="00BB050F"/>
    <w:rsid w:val="00BB48C8"/>
    <w:rsid w:val="00BB4B3D"/>
    <w:rsid w:val="00BB4D30"/>
    <w:rsid w:val="00BB73D9"/>
    <w:rsid w:val="00BC0912"/>
    <w:rsid w:val="00BC0D0C"/>
    <w:rsid w:val="00BC42C7"/>
    <w:rsid w:val="00BC7748"/>
    <w:rsid w:val="00BD1402"/>
    <w:rsid w:val="00BD2A6A"/>
    <w:rsid w:val="00BD2BD0"/>
    <w:rsid w:val="00BD40B1"/>
    <w:rsid w:val="00BD4A24"/>
    <w:rsid w:val="00BD6D5B"/>
    <w:rsid w:val="00BD74D0"/>
    <w:rsid w:val="00BE05B9"/>
    <w:rsid w:val="00BE35BC"/>
    <w:rsid w:val="00BE588B"/>
    <w:rsid w:val="00BE79B2"/>
    <w:rsid w:val="00BF2A1B"/>
    <w:rsid w:val="00BF3367"/>
    <w:rsid w:val="00BF3D42"/>
    <w:rsid w:val="00BF49C5"/>
    <w:rsid w:val="00BF5824"/>
    <w:rsid w:val="00BF6FFD"/>
    <w:rsid w:val="00C01861"/>
    <w:rsid w:val="00C02FDF"/>
    <w:rsid w:val="00C1112D"/>
    <w:rsid w:val="00C11F37"/>
    <w:rsid w:val="00C1218B"/>
    <w:rsid w:val="00C249CE"/>
    <w:rsid w:val="00C262C2"/>
    <w:rsid w:val="00C27090"/>
    <w:rsid w:val="00C32B73"/>
    <w:rsid w:val="00C351B4"/>
    <w:rsid w:val="00C36AB0"/>
    <w:rsid w:val="00C40B0E"/>
    <w:rsid w:val="00C40B66"/>
    <w:rsid w:val="00C41A96"/>
    <w:rsid w:val="00C41C38"/>
    <w:rsid w:val="00C44E26"/>
    <w:rsid w:val="00C44E8A"/>
    <w:rsid w:val="00C45A3A"/>
    <w:rsid w:val="00C45EEE"/>
    <w:rsid w:val="00C46FF0"/>
    <w:rsid w:val="00C53BEE"/>
    <w:rsid w:val="00C5449D"/>
    <w:rsid w:val="00C544EF"/>
    <w:rsid w:val="00C55B03"/>
    <w:rsid w:val="00C57016"/>
    <w:rsid w:val="00C60416"/>
    <w:rsid w:val="00C60CCF"/>
    <w:rsid w:val="00C71837"/>
    <w:rsid w:val="00C71B19"/>
    <w:rsid w:val="00C72650"/>
    <w:rsid w:val="00C72A3C"/>
    <w:rsid w:val="00C749C5"/>
    <w:rsid w:val="00C74B47"/>
    <w:rsid w:val="00C7523D"/>
    <w:rsid w:val="00C75718"/>
    <w:rsid w:val="00C76D7D"/>
    <w:rsid w:val="00C76DED"/>
    <w:rsid w:val="00C7775D"/>
    <w:rsid w:val="00C83034"/>
    <w:rsid w:val="00C84B48"/>
    <w:rsid w:val="00C92796"/>
    <w:rsid w:val="00C92C48"/>
    <w:rsid w:val="00C94D0D"/>
    <w:rsid w:val="00C9572E"/>
    <w:rsid w:val="00C9741A"/>
    <w:rsid w:val="00CA0BFC"/>
    <w:rsid w:val="00CA2867"/>
    <w:rsid w:val="00CA397D"/>
    <w:rsid w:val="00CA3F49"/>
    <w:rsid w:val="00CA4434"/>
    <w:rsid w:val="00CA4DB9"/>
    <w:rsid w:val="00CB2716"/>
    <w:rsid w:val="00CB5AC2"/>
    <w:rsid w:val="00CB76A3"/>
    <w:rsid w:val="00CC0627"/>
    <w:rsid w:val="00CC4B89"/>
    <w:rsid w:val="00CC6876"/>
    <w:rsid w:val="00CC7B64"/>
    <w:rsid w:val="00CD1B5C"/>
    <w:rsid w:val="00CD25F7"/>
    <w:rsid w:val="00CE4162"/>
    <w:rsid w:val="00CE4209"/>
    <w:rsid w:val="00CE5C5C"/>
    <w:rsid w:val="00CE6095"/>
    <w:rsid w:val="00CE7644"/>
    <w:rsid w:val="00CF0CA8"/>
    <w:rsid w:val="00CF0FAF"/>
    <w:rsid w:val="00CF1564"/>
    <w:rsid w:val="00CF17CA"/>
    <w:rsid w:val="00CF22C8"/>
    <w:rsid w:val="00CF24F3"/>
    <w:rsid w:val="00CF5BF9"/>
    <w:rsid w:val="00CF688C"/>
    <w:rsid w:val="00CF68AF"/>
    <w:rsid w:val="00CF6DC7"/>
    <w:rsid w:val="00D01ABB"/>
    <w:rsid w:val="00D02DCE"/>
    <w:rsid w:val="00D03016"/>
    <w:rsid w:val="00D05970"/>
    <w:rsid w:val="00D05B0B"/>
    <w:rsid w:val="00D0744B"/>
    <w:rsid w:val="00D11092"/>
    <w:rsid w:val="00D11C02"/>
    <w:rsid w:val="00D11E24"/>
    <w:rsid w:val="00D134B0"/>
    <w:rsid w:val="00D147CD"/>
    <w:rsid w:val="00D15782"/>
    <w:rsid w:val="00D17450"/>
    <w:rsid w:val="00D175BA"/>
    <w:rsid w:val="00D22A47"/>
    <w:rsid w:val="00D22A96"/>
    <w:rsid w:val="00D23904"/>
    <w:rsid w:val="00D26DFE"/>
    <w:rsid w:val="00D27D0B"/>
    <w:rsid w:val="00D30F44"/>
    <w:rsid w:val="00D3290F"/>
    <w:rsid w:val="00D3399C"/>
    <w:rsid w:val="00D401A3"/>
    <w:rsid w:val="00D403ED"/>
    <w:rsid w:val="00D40931"/>
    <w:rsid w:val="00D41B1C"/>
    <w:rsid w:val="00D42B02"/>
    <w:rsid w:val="00D44CA7"/>
    <w:rsid w:val="00D463B4"/>
    <w:rsid w:val="00D501C2"/>
    <w:rsid w:val="00D501FF"/>
    <w:rsid w:val="00D50E12"/>
    <w:rsid w:val="00D53E5F"/>
    <w:rsid w:val="00D6090C"/>
    <w:rsid w:val="00D6331A"/>
    <w:rsid w:val="00D654FA"/>
    <w:rsid w:val="00D656A0"/>
    <w:rsid w:val="00D71527"/>
    <w:rsid w:val="00D71B5E"/>
    <w:rsid w:val="00D742F6"/>
    <w:rsid w:val="00D81948"/>
    <w:rsid w:val="00D82F2B"/>
    <w:rsid w:val="00D848D0"/>
    <w:rsid w:val="00D84F08"/>
    <w:rsid w:val="00D85B6E"/>
    <w:rsid w:val="00D927F3"/>
    <w:rsid w:val="00D92D90"/>
    <w:rsid w:val="00D93F93"/>
    <w:rsid w:val="00D9502E"/>
    <w:rsid w:val="00D97AE0"/>
    <w:rsid w:val="00D97C46"/>
    <w:rsid w:val="00DA0379"/>
    <w:rsid w:val="00DA56E4"/>
    <w:rsid w:val="00DA5D18"/>
    <w:rsid w:val="00DA6C89"/>
    <w:rsid w:val="00DB0C8D"/>
    <w:rsid w:val="00DB33A0"/>
    <w:rsid w:val="00DB3731"/>
    <w:rsid w:val="00DB5093"/>
    <w:rsid w:val="00DB5C07"/>
    <w:rsid w:val="00DB65B9"/>
    <w:rsid w:val="00DB668E"/>
    <w:rsid w:val="00DB7572"/>
    <w:rsid w:val="00DC0F6E"/>
    <w:rsid w:val="00DC1901"/>
    <w:rsid w:val="00DC1E01"/>
    <w:rsid w:val="00DC1EB3"/>
    <w:rsid w:val="00DC28E2"/>
    <w:rsid w:val="00DC5A8D"/>
    <w:rsid w:val="00DC5E6F"/>
    <w:rsid w:val="00DD1815"/>
    <w:rsid w:val="00DD1F1F"/>
    <w:rsid w:val="00DD1F4D"/>
    <w:rsid w:val="00DD43C3"/>
    <w:rsid w:val="00DD477B"/>
    <w:rsid w:val="00DD496F"/>
    <w:rsid w:val="00DD5BD2"/>
    <w:rsid w:val="00DD5DD9"/>
    <w:rsid w:val="00DE03A0"/>
    <w:rsid w:val="00DE0FEE"/>
    <w:rsid w:val="00DE4A10"/>
    <w:rsid w:val="00DE56CB"/>
    <w:rsid w:val="00DE6C62"/>
    <w:rsid w:val="00DF2361"/>
    <w:rsid w:val="00DF3C2D"/>
    <w:rsid w:val="00DF6018"/>
    <w:rsid w:val="00DF66A4"/>
    <w:rsid w:val="00DF7D7E"/>
    <w:rsid w:val="00E001DB"/>
    <w:rsid w:val="00E0080D"/>
    <w:rsid w:val="00E02AD5"/>
    <w:rsid w:val="00E03E78"/>
    <w:rsid w:val="00E04482"/>
    <w:rsid w:val="00E077B5"/>
    <w:rsid w:val="00E120CF"/>
    <w:rsid w:val="00E12937"/>
    <w:rsid w:val="00E13FB2"/>
    <w:rsid w:val="00E142A6"/>
    <w:rsid w:val="00E17FE1"/>
    <w:rsid w:val="00E208FD"/>
    <w:rsid w:val="00E251F9"/>
    <w:rsid w:val="00E25E94"/>
    <w:rsid w:val="00E26500"/>
    <w:rsid w:val="00E327A3"/>
    <w:rsid w:val="00E34DA6"/>
    <w:rsid w:val="00E36349"/>
    <w:rsid w:val="00E37236"/>
    <w:rsid w:val="00E40C37"/>
    <w:rsid w:val="00E420F2"/>
    <w:rsid w:val="00E46A31"/>
    <w:rsid w:val="00E46A39"/>
    <w:rsid w:val="00E50F38"/>
    <w:rsid w:val="00E52D88"/>
    <w:rsid w:val="00E533C6"/>
    <w:rsid w:val="00E54925"/>
    <w:rsid w:val="00E55C8F"/>
    <w:rsid w:val="00E56FCA"/>
    <w:rsid w:val="00E61C1C"/>
    <w:rsid w:val="00E6431C"/>
    <w:rsid w:val="00E67E53"/>
    <w:rsid w:val="00E7005E"/>
    <w:rsid w:val="00E7026E"/>
    <w:rsid w:val="00E82C7D"/>
    <w:rsid w:val="00E8487A"/>
    <w:rsid w:val="00E87B4F"/>
    <w:rsid w:val="00E93EA9"/>
    <w:rsid w:val="00E94E12"/>
    <w:rsid w:val="00E94E4A"/>
    <w:rsid w:val="00E9693F"/>
    <w:rsid w:val="00EA4ADF"/>
    <w:rsid w:val="00EA5B62"/>
    <w:rsid w:val="00EA617E"/>
    <w:rsid w:val="00EA6B86"/>
    <w:rsid w:val="00EB05B5"/>
    <w:rsid w:val="00EB1879"/>
    <w:rsid w:val="00EC18B8"/>
    <w:rsid w:val="00EC21CE"/>
    <w:rsid w:val="00EC33A7"/>
    <w:rsid w:val="00EC365F"/>
    <w:rsid w:val="00EC42BB"/>
    <w:rsid w:val="00EC695B"/>
    <w:rsid w:val="00EC69FA"/>
    <w:rsid w:val="00EC6B9C"/>
    <w:rsid w:val="00ED08F5"/>
    <w:rsid w:val="00ED16AA"/>
    <w:rsid w:val="00ED2D13"/>
    <w:rsid w:val="00ED2D72"/>
    <w:rsid w:val="00ED4273"/>
    <w:rsid w:val="00ED66A3"/>
    <w:rsid w:val="00ED7A4D"/>
    <w:rsid w:val="00EE0603"/>
    <w:rsid w:val="00EE3747"/>
    <w:rsid w:val="00EE4F3E"/>
    <w:rsid w:val="00EF1F9A"/>
    <w:rsid w:val="00EF2415"/>
    <w:rsid w:val="00EF358F"/>
    <w:rsid w:val="00F007BA"/>
    <w:rsid w:val="00F02649"/>
    <w:rsid w:val="00F03541"/>
    <w:rsid w:val="00F062C9"/>
    <w:rsid w:val="00F062E6"/>
    <w:rsid w:val="00F1184C"/>
    <w:rsid w:val="00F13E01"/>
    <w:rsid w:val="00F14AF2"/>
    <w:rsid w:val="00F201FE"/>
    <w:rsid w:val="00F204CD"/>
    <w:rsid w:val="00F212F1"/>
    <w:rsid w:val="00F240A2"/>
    <w:rsid w:val="00F24660"/>
    <w:rsid w:val="00F24820"/>
    <w:rsid w:val="00F33A38"/>
    <w:rsid w:val="00F33D4A"/>
    <w:rsid w:val="00F33E57"/>
    <w:rsid w:val="00F33FF4"/>
    <w:rsid w:val="00F3532D"/>
    <w:rsid w:val="00F363F5"/>
    <w:rsid w:val="00F43855"/>
    <w:rsid w:val="00F43C28"/>
    <w:rsid w:val="00F44F51"/>
    <w:rsid w:val="00F452E1"/>
    <w:rsid w:val="00F51327"/>
    <w:rsid w:val="00F52415"/>
    <w:rsid w:val="00F54CFC"/>
    <w:rsid w:val="00F5574A"/>
    <w:rsid w:val="00F60134"/>
    <w:rsid w:val="00F60BB8"/>
    <w:rsid w:val="00F6167C"/>
    <w:rsid w:val="00F64BE9"/>
    <w:rsid w:val="00F65547"/>
    <w:rsid w:val="00F65BA5"/>
    <w:rsid w:val="00F66BD4"/>
    <w:rsid w:val="00F7048D"/>
    <w:rsid w:val="00F73437"/>
    <w:rsid w:val="00F739FC"/>
    <w:rsid w:val="00F75395"/>
    <w:rsid w:val="00F75EB2"/>
    <w:rsid w:val="00F76D59"/>
    <w:rsid w:val="00F81FCD"/>
    <w:rsid w:val="00F8246D"/>
    <w:rsid w:val="00F850CC"/>
    <w:rsid w:val="00F85C08"/>
    <w:rsid w:val="00F86C9F"/>
    <w:rsid w:val="00F876D3"/>
    <w:rsid w:val="00F90528"/>
    <w:rsid w:val="00F9267D"/>
    <w:rsid w:val="00F930F6"/>
    <w:rsid w:val="00F95AA6"/>
    <w:rsid w:val="00FA0C6E"/>
    <w:rsid w:val="00FA184A"/>
    <w:rsid w:val="00FA56EC"/>
    <w:rsid w:val="00FA5837"/>
    <w:rsid w:val="00FA67A3"/>
    <w:rsid w:val="00FB1634"/>
    <w:rsid w:val="00FB6FE8"/>
    <w:rsid w:val="00FC2BDE"/>
    <w:rsid w:val="00FC3296"/>
    <w:rsid w:val="00FC3B06"/>
    <w:rsid w:val="00FC3CE7"/>
    <w:rsid w:val="00FC4597"/>
    <w:rsid w:val="00FC5973"/>
    <w:rsid w:val="00FC5D1C"/>
    <w:rsid w:val="00FC5D43"/>
    <w:rsid w:val="00FC77DF"/>
    <w:rsid w:val="00FC7BFA"/>
    <w:rsid w:val="00FD2034"/>
    <w:rsid w:val="00FD4245"/>
    <w:rsid w:val="00FD6D71"/>
    <w:rsid w:val="00FD79C2"/>
    <w:rsid w:val="00FE0955"/>
    <w:rsid w:val="00FE35F0"/>
    <w:rsid w:val="00FE5C88"/>
    <w:rsid w:val="00FE5D9D"/>
    <w:rsid w:val="00FE75A0"/>
    <w:rsid w:val="00FE7847"/>
    <w:rsid w:val="00FF125D"/>
    <w:rsid w:val="00FF38EA"/>
    <w:rsid w:val="00FF65B3"/>
    <w:rsid w:val="00FF70F5"/>
    <w:rsid w:val="00FF7192"/>
    <w:rsid w:val="00FF74EA"/>
    <w:rsid w:val="00FF7B49"/>
    <w:rsid w:val="0FED4B25"/>
    <w:rsid w:val="1078D841"/>
    <w:rsid w:val="3F64E3F0"/>
    <w:rsid w:val="5C0BF9A5"/>
    <w:rsid w:val="73CED29F"/>
    <w:rsid w:val="73F096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B12934"/>
  <w15:chartTrackingRefBased/>
  <w15:docId w15:val="{4DBE91A6-FAD8-4060-82C0-0997967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NKI Überschrift 1"/>
    <w:basedOn w:val="Standard"/>
    <w:next w:val="Standard"/>
    <w:link w:val="berschrift1Zchn"/>
    <w:uiPriority w:val="9"/>
    <w:qFormat/>
    <w:rsid w:val="00BD4A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D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D4A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F240A2"/>
    <w:pPr>
      <w:keepNext/>
      <w:keepLines/>
      <w:spacing w:before="40" w:after="0" w:line="240" w:lineRule="auto"/>
      <w:ind w:left="864" w:hanging="864"/>
      <w:jc w:val="both"/>
      <w:outlineLvl w:val="3"/>
    </w:pPr>
    <w:rPr>
      <w:rFonts w:asciiTheme="majorHAnsi" w:eastAsiaTheme="majorEastAsia" w:hAnsiTheme="majorHAnsi" w:cstheme="majorBidi"/>
      <w:i/>
      <w:iCs/>
      <w:color w:val="2F5496" w:themeColor="accent1" w:themeShade="BF"/>
      <w:sz w:val="24"/>
      <w:szCs w:val="20"/>
      <w:lang w:eastAsia="de-DE"/>
    </w:rPr>
  </w:style>
  <w:style w:type="paragraph" w:styleId="berschrift5">
    <w:name w:val="heading 5"/>
    <w:basedOn w:val="Standard"/>
    <w:next w:val="Standard"/>
    <w:link w:val="berschrift5Zchn"/>
    <w:uiPriority w:val="9"/>
    <w:semiHidden/>
    <w:unhideWhenUsed/>
    <w:qFormat/>
    <w:rsid w:val="00F240A2"/>
    <w:pPr>
      <w:keepNext/>
      <w:keepLines/>
      <w:spacing w:before="40" w:after="0" w:line="240" w:lineRule="auto"/>
      <w:ind w:left="1008" w:hanging="1008"/>
      <w:jc w:val="both"/>
      <w:outlineLvl w:val="4"/>
    </w:pPr>
    <w:rPr>
      <w:rFonts w:asciiTheme="majorHAnsi" w:eastAsiaTheme="majorEastAsia" w:hAnsiTheme="majorHAnsi" w:cstheme="majorBidi"/>
      <w:color w:val="2F5496" w:themeColor="accent1" w:themeShade="BF"/>
      <w:sz w:val="24"/>
      <w:szCs w:val="20"/>
      <w:lang w:eastAsia="de-DE"/>
    </w:rPr>
  </w:style>
  <w:style w:type="paragraph" w:styleId="berschrift6">
    <w:name w:val="heading 6"/>
    <w:basedOn w:val="Standard"/>
    <w:next w:val="Standard"/>
    <w:link w:val="berschrift6Zchn"/>
    <w:uiPriority w:val="9"/>
    <w:semiHidden/>
    <w:unhideWhenUsed/>
    <w:qFormat/>
    <w:rsid w:val="00F240A2"/>
    <w:pPr>
      <w:keepNext/>
      <w:keepLines/>
      <w:spacing w:before="40" w:after="0" w:line="240" w:lineRule="auto"/>
      <w:ind w:left="1152" w:hanging="1152"/>
      <w:jc w:val="both"/>
      <w:outlineLvl w:val="5"/>
    </w:pPr>
    <w:rPr>
      <w:rFonts w:asciiTheme="majorHAnsi" w:eastAsiaTheme="majorEastAsia" w:hAnsiTheme="majorHAnsi" w:cstheme="majorBidi"/>
      <w:color w:val="1F3763" w:themeColor="accent1" w:themeShade="7F"/>
      <w:sz w:val="24"/>
      <w:szCs w:val="20"/>
      <w:lang w:eastAsia="de-DE"/>
    </w:rPr>
  </w:style>
  <w:style w:type="paragraph" w:styleId="berschrift7">
    <w:name w:val="heading 7"/>
    <w:basedOn w:val="Standard"/>
    <w:next w:val="Standard"/>
    <w:link w:val="berschrift7Zchn"/>
    <w:uiPriority w:val="9"/>
    <w:semiHidden/>
    <w:unhideWhenUsed/>
    <w:qFormat/>
    <w:rsid w:val="00F240A2"/>
    <w:pPr>
      <w:keepNext/>
      <w:keepLines/>
      <w:spacing w:before="40" w:after="0" w:line="240" w:lineRule="auto"/>
      <w:ind w:left="1296" w:hanging="1296"/>
      <w:jc w:val="both"/>
      <w:outlineLvl w:val="6"/>
    </w:pPr>
    <w:rPr>
      <w:rFonts w:asciiTheme="majorHAnsi" w:eastAsiaTheme="majorEastAsia" w:hAnsiTheme="majorHAnsi" w:cstheme="majorBidi"/>
      <w:i/>
      <w:iCs/>
      <w:color w:val="1F3763" w:themeColor="accent1" w:themeShade="7F"/>
      <w:sz w:val="24"/>
      <w:szCs w:val="20"/>
      <w:lang w:eastAsia="de-DE"/>
    </w:rPr>
  </w:style>
  <w:style w:type="paragraph" w:styleId="berschrift8">
    <w:name w:val="heading 8"/>
    <w:basedOn w:val="Standard"/>
    <w:next w:val="Standard"/>
    <w:link w:val="berschrift8Zchn"/>
    <w:uiPriority w:val="9"/>
    <w:semiHidden/>
    <w:unhideWhenUsed/>
    <w:qFormat/>
    <w:rsid w:val="00F240A2"/>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rsid w:val="00F240A2"/>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334DB9"/>
    <w:pPr>
      <w:spacing w:after="0" w:line="240" w:lineRule="auto"/>
    </w:pPr>
    <w:rPr>
      <w:sz w:val="20"/>
      <w:szCs w:val="20"/>
    </w:rPr>
  </w:style>
  <w:style w:type="character" w:customStyle="1" w:styleId="FunotentextZchn">
    <w:name w:val="Fußnotentext Zchn"/>
    <w:basedOn w:val="Absatz-Standardschriftart"/>
    <w:link w:val="Funotentext"/>
    <w:uiPriority w:val="99"/>
    <w:rsid w:val="00334DB9"/>
    <w:rPr>
      <w:sz w:val="20"/>
      <w:szCs w:val="20"/>
    </w:rPr>
  </w:style>
  <w:style w:type="character" w:styleId="Funotenzeichen">
    <w:name w:val="footnote reference"/>
    <w:basedOn w:val="Absatz-Standardschriftart"/>
    <w:uiPriority w:val="99"/>
    <w:semiHidden/>
    <w:unhideWhenUsed/>
    <w:rsid w:val="00334DB9"/>
    <w:rPr>
      <w:vertAlign w:val="superscript"/>
    </w:rPr>
  </w:style>
  <w:style w:type="character" w:styleId="Kommentarzeichen">
    <w:name w:val="annotation reference"/>
    <w:basedOn w:val="Absatz-Standardschriftart"/>
    <w:uiPriority w:val="99"/>
    <w:semiHidden/>
    <w:unhideWhenUsed/>
    <w:rsid w:val="00CC4B89"/>
    <w:rPr>
      <w:sz w:val="16"/>
      <w:szCs w:val="16"/>
    </w:rPr>
  </w:style>
  <w:style w:type="paragraph" w:styleId="Kommentartext">
    <w:name w:val="annotation text"/>
    <w:basedOn w:val="Standard"/>
    <w:link w:val="KommentartextZchn"/>
    <w:uiPriority w:val="99"/>
    <w:unhideWhenUsed/>
    <w:rsid w:val="00CC4B89"/>
    <w:pPr>
      <w:spacing w:line="240" w:lineRule="auto"/>
    </w:pPr>
    <w:rPr>
      <w:sz w:val="20"/>
      <w:szCs w:val="20"/>
    </w:rPr>
  </w:style>
  <w:style w:type="character" w:customStyle="1" w:styleId="KommentartextZchn">
    <w:name w:val="Kommentartext Zchn"/>
    <w:basedOn w:val="Absatz-Standardschriftart"/>
    <w:link w:val="Kommentartext"/>
    <w:uiPriority w:val="99"/>
    <w:rsid w:val="00CC4B89"/>
    <w:rPr>
      <w:sz w:val="20"/>
      <w:szCs w:val="20"/>
    </w:rPr>
  </w:style>
  <w:style w:type="paragraph" w:styleId="Kommentarthema">
    <w:name w:val="annotation subject"/>
    <w:basedOn w:val="Kommentartext"/>
    <w:next w:val="Kommentartext"/>
    <w:link w:val="KommentarthemaZchn"/>
    <w:uiPriority w:val="99"/>
    <w:semiHidden/>
    <w:unhideWhenUsed/>
    <w:rsid w:val="00CC4B89"/>
    <w:rPr>
      <w:b/>
      <w:bCs/>
    </w:rPr>
  </w:style>
  <w:style w:type="character" w:customStyle="1" w:styleId="KommentarthemaZchn">
    <w:name w:val="Kommentarthema Zchn"/>
    <w:basedOn w:val="KommentartextZchn"/>
    <w:link w:val="Kommentarthema"/>
    <w:uiPriority w:val="99"/>
    <w:semiHidden/>
    <w:rsid w:val="00CC4B89"/>
    <w:rPr>
      <w:b/>
      <w:bCs/>
      <w:sz w:val="20"/>
      <w:szCs w:val="20"/>
    </w:rPr>
  </w:style>
  <w:style w:type="paragraph" w:styleId="Sprechblasentext">
    <w:name w:val="Balloon Text"/>
    <w:basedOn w:val="Standard"/>
    <w:link w:val="SprechblasentextZchn"/>
    <w:uiPriority w:val="99"/>
    <w:semiHidden/>
    <w:unhideWhenUsed/>
    <w:rsid w:val="00CC4B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4B89"/>
    <w:rPr>
      <w:rFonts w:ascii="Segoe UI" w:hAnsi="Segoe UI" w:cs="Segoe UI"/>
      <w:sz w:val="18"/>
      <w:szCs w:val="18"/>
    </w:rPr>
  </w:style>
  <w:style w:type="paragraph" w:styleId="Listenabsatz">
    <w:name w:val="List Paragraph"/>
    <w:aliases w:val="Numbered List Paragraph,List Paragraph1,References,Bullets,List Paragraph (numbered (a)),Liste 1,ReferencesCxSpLast,Medium Grid 1 - Accent 21,List Paragraph nowy,123 List Paragraph,List_Paragraph,Multilevel para_II,Akapit z listą BS,Ha,EC,E"/>
    <w:basedOn w:val="Standard"/>
    <w:link w:val="ListenabsatzZchn"/>
    <w:uiPriority w:val="34"/>
    <w:qFormat/>
    <w:rsid w:val="00CE5C5C"/>
    <w:pPr>
      <w:ind w:left="720"/>
      <w:contextualSpacing/>
    </w:pPr>
  </w:style>
  <w:style w:type="character" w:customStyle="1" w:styleId="ListenabsatzZchn">
    <w:name w:val="Listenabsatz Zchn"/>
    <w:aliases w:val="Numbered List Paragraph Zchn,List Paragraph1 Zchn,References Zchn,Bullets Zchn,List Paragraph (numbered (a)) Zchn,Liste 1 Zchn,ReferencesCxSpLast Zchn,Medium Grid 1 - Accent 21 Zchn,List Paragraph nowy Zchn,123 List Paragraph Zchn"/>
    <w:link w:val="Listenabsatz"/>
    <w:uiPriority w:val="34"/>
    <w:qFormat/>
    <w:locked/>
    <w:rsid w:val="00F73437"/>
  </w:style>
  <w:style w:type="paragraph" w:customStyle="1" w:styleId="Default">
    <w:name w:val="Default"/>
    <w:rsid w:val="00956DF1"/>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1C67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67BE"/>
  </w:style>
  <w:style w:type="paragraph" w:styleId="Fuzeile">
    <w:name w:val="footer"/>
    <w:basedOn w:val="Standard"/>
    <w:link w:val="FuzeileZchn"/>
    <w:uiPriority w:val="99"/>
    <w:unhideWhenUsed/>
    <w:rsid w:val="001C67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67BE"/>
  </w:style>
  <w:style w:type="character" w:styleId="Hyperlink">
    <w:name w:val="Hyperlink"/>
    <w:basedOn w:val="Absatz-Standardschriftart"/>
    <w:uiPriority w:val="99"/>
    <w:unhideWhenUsed/>
    <w:rsid w:val="006404B4"/>
    <w:rPr>
      <w:color w:val="0563C1" w:themeColor="hyperlink"/>
      <w:u w:val="single"/>
    </w:rPr>
  </w:style>
  <w:style w:type="character" w:styleId="NichtaufgelsteErwhnung">
    <w:name w:val="Unresolved Mention"/>
    <w:basedOn w:val="Absatz-Standardschriftart"/>
    <w:uiPriority w:val="99"/>
    <w:semiHidden/>
    <w:unhideWhenUsed/>
    <w:rsid w:val="006404B4"/>
    <w:rPr>
      <w:color w:val="605E5C"/>
      <w:shd w:val="clear" w:color="auto" w:fill="E1DFDD"/>
    </w:rPr>
  </w:style>
  <w:style w:type="character" w:customStyle="1" w:styleId="berschrift1Zchn">
    <w:name w:val="Überschrift 1 Zchn"/>
    <w:aliases w:val="NKI Überschrift 1 Zchn"/>
    <w:basedOn w:val="Absatz-Standardschriftart"/>
    <w:link w:val="berschrift1"/>
    <w:uiPriority w:val="9"/>
    <w:rsid w:val="00BD4A2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D4A2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D4A24"/>
    <w:rPr>
      <w:rFonts w:asciiTheme="majorHAnsi" w:eastAsiaTheme="majorEastAsia" w:hAnsiTheme="majorHAnsi" w:cstheme="majorBidi"/>
      <w:color w:val="1F3763" w:themeColor="accent1" w:themeShade="7F"/>
      <w:sz w:val="24"/>
      <w:szCs w:val="24"/>
    </w:rPr>
  </w:style>
  <w:style w:type="paragraph" w:styleId="Liste">
    <w:name w:val="List"/>
    <w:basedOn w:val="Standard"/>
    <w:uiPriority w:val="99"/>
    <w:unhideWhenUsed/>
    <w:rsid w:val="00BD4A24"/>
    <w:pPr>
      <w:ind w:left="283" w:hanging="283"/>
      <w:contextualSpacing/>
    </w:pPr>
  </w:style>
  <w:style w:type="paragraph" w:styleId="Liste2">
    <w:name w:val="List 2"/>
    <w:basedOn w:val="Standard"/>
    <w:uiPriority w:val="99"/>
    <w:unhideWhenUsed/>
    <w:rsid w:val="00BD4A24"/>
    <w:pPr>
      <w:ind w:left="566" w:hanging="283"/>
      <w:contextualSpacing/>
    </w:pPr>
  </w:style>
  <w:style w:type="paragraph" w:styleId="Aufzhlungszeichen">
    <w:name w:val="List Bullet"/>
    <w:basedOn w:val="Standard"/>
    <w:uiPriority w:val="99"/>
    <w:unhideWhenUsed/>
    <w:rsid w:val="00BD4A24"/>
    <w:pPr>
      <w:numPr>
        <w:numId w:val="1"/>
      </w:numPr>
      <w:contextualSpacing/>
    </w:pPr>
  </w:style>
  <w:style w:type="paragraph" w:styleId="Titel">
    <w:name w:val="Title"/>
    <w:basedOn w:val="Standard"/>
    <w:next w:val="Standard"/>
    <w:link w:val="TitelZchn"/>
    <w:uiPriority w:val="10"/>
    <w:qFormat/>
    <w:rsid w:val="00BD4A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4A24"/>
    <w:rPr>
      <w:rFonts w:asciiTheme="majorHAnsi" w:eastAsiaTheme="majorEastAsia" w:hAnsiTheme="majorHAnsi" w:cstheme="majorBidi"/>
      <w:spacing w:val="-10"/>
      <w:kern w:val="28"/>
      <w:sz w:val="56"/>
      <w:szCs w:val="56"/>
    </w:rPr>
  </w:style>
  <w:style w:type="paragraph" w:styleId="Textkrper">
    <w:name w:val="Body Text"/>
    <w:basedOn w:val="Standard"/>
    <w:link w:val="TextkrperZchn"/>
    <w:uiPriority w:val="99"/>
    <w:unhideWhenUsed/>
    <w:rsid w:val="00BD4A24"/>
    <w:pPr>
      <w:spacing w:after="120"/>
    </w:pPr>
  </w:style>
  <w:style w:type="character" w:customStyle="1" w:styleId="TextkrperZchn">
    <w:name w:val="Textkörper Zchn"/>
    <w:basedOn w:val="Absatz-Standardschriftart"/>
    <w:link w:val="Textkrper"/>
    <w:uiPriority w:val="99"/>
    <w:rsid w:val="00BD4A24"/>
  </w:style>
  <w:style w:type="paragraph" w:styleId="Untertitel">
    <w:name w:val="Subtitle"/>
    <w:basedOn w:val="Standard"/>
    <w:next w:val="Standard"/>
    <w:link w:val="UntertitelZchn"/>
    <w:uiPriority w:val="11"/>
    <w:qFormat/>
    <w:rsid w:val="00BD4A24"/>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BD4A24"/>
    <w:rPr>
      <w:color w:val="5A5A5A" w:themeColor="text1" w:themeTint="A5"/>
      <w:spacing w:val="15"/>
    </w:rPr>
  </w:style>
  <w:style w:type="paragraph" w:customStyle="1" w:styleId="Betreffzeile">
    <w:name w:val="Betreffzeile"/>
    <w:basedOn w:val="Standard"/>
    <w:rsid w:val="00BD4A24"/>
  </w:style>
  <w:style w:type="paragraph" w:customStyle="1" w:styleId="Bezugszeichentext">
    <w:name w:val="Bezugszeichentext"/>
    <w:basedOn w:val="Standard"/>
    <w:rsid w:val="00BD4A24"/>
  </w:style>
  <w:style w:type="paragraph" w:styleId="Unterschrift">
    <w:name w:val="Signature"/>
    <w:basedOn w:val="Standard"/>
    <w:link w:val="UnterschriftZchn"/>
    <w:uiPriority w:val="99"/>
    <w:semiHidden/>
    <w:unhideWhenUsed/>
    <w:rsid w:val="00BD4A24"/>
    <w:pPr>
      <w:spacing w:after="0" w:line="240" w:lineRule="auto"/>
      <w:ind w:left="4252"/>
    </w:pPr>
  </w:style>
  <w:style w:type="character" w:customStyle="1" w:styleId="UnterschriftZchn">
    <w:name w:val="Unterschrift Zchn"/>
    <w:basedOn w:val="Absatz-Standardschriftart"/>
    <w:link w:val="Unterschrift"/>
    <w:uiPriority w:val="99"/>
    <w:semiHidden/>
    <w:rsid w:val="00BD4A24"/>
  </w:style>
  <w:style w:type="paragraph" w:customStyle="1" w:styleId="RechtlicheStellungUnterzeichner">
    <w:name w:val="Rechtliche Stellung Unterzeichner"/>
    <w:basedOn w:val="Unterschrift"/>
    <w:rsid w:val="00BD4A24"/>
  </w:style>
  <w:style w:type="paragraph" w:customStyle="1" w:styleId="Indent1">
    <w:name w:val="Indent 1"/>
    <w:basedOn w:val="Standard"/>
    <w:qFormat/>
    <w:rsid w:val="00572DA4"/>
    <w:pPr>
      <w:spacing w:before="120" w:after="120" w:line="300" w:lineRule="atLeast"/>
      <w:ind w:left="567"/>
    </w:pPr>
    <w:rPr>
      <w:rFonts w:eastAsia="Times New Roman" w:cstheme="minorHAnsi"/>
      <w:lang w:eastAsia="de-DE"/>
    </w:rPr>
  </w:style>
  <w:style w:type="paragraph" w:styleId="berarbeitung">
    <w:name w:val="Revision"/>
    <w:hidden/>
    <w:uiPriority w:val="99"/>
    <w:semiHidden/>
    <w:rsid w:val="00B12782"/>
    <w:pPr>
      <w:spacing w:after="0" w:line="240" w:lineRule="auto"/>
    </w:pPr>
  </w:style>
  <w:style w:type="paragraph" w:styleId="NurText">
    <w:name w:val="Plain Text"/>
    <w:basedOn w:val="Standard"/>
    <w:link w:val="NurTextZchn"/>
    <w:uiPriority w:val="99"/>
    <w:semiHidden/>
    <w:unhideWhenUsed/>
    <w:rsid w:val="00BB4D30"/>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semiHidden/>
    <w:rsid w:val="00BB4D30"/>
    <w:rPr>
      <w:rFonts w:ascii="Calibri" w:eastAsiaTheme="minorHAnsi" w:hAnsi="Calibri"/>
      <w:szCs w:val="21"/>
      <w:lang w:eastAsia="en-US"/>
    </w:rPr>
  </w:style>
  <w:style w:type="paragraph" w:customStyle="1" w:styleId="title-fam-member-star">
    <w:name w:val="title-fam-member-star"/>
    <w:basedOn w:val="Standard"/>
    <w:rsid w:val="00D950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45167"/>
    <w:rPr>
      <w:i/>
      <w:iCs/>
    </w:rPr>
  </w:style>
  <w:style w:type="character" w:customStyle="1" w:styleId="highlight">
    <w:name w:val="highlight"/>
    <w:basedOn w:val="Absatz-Standardschriftart"/>
    <w:rsid w:val="007100F7"/>
  </w:style>
  <w:style w:type="paragraph" w:customStyle="1" w:styleId="title-bold">
    <w:name w:val="title-bold"/>
    <w:basedOn w:val="Standard"/>
    <w:rsid w:val="00155A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155A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1">
    <w:name w:val="toc-1"/>
    <w:basedOn w:val="Standard"/>
    <w:rsid w:val="00B314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2">
    <w:name w:val="toc-2"/>
    <w:basedOn w:val="Standard"/>
    <w:rsid w:val="00B314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52B6F"/>
    <w:rPr>
      <w:color w:val="954F72" w:themeColor="followedHyperlink"/>
      <w:u w:val="single"/>
    </w:rPr>
  </w:style>
  <w:style w:type="character" w:customStyle="1" w:styleId="berschrift4Zchn">
    <w:name w:val="Überschrift 4 Zchn"/>
    <w:basedOn w:val="Absatz-Standardschriftart"/>
    <w:link w:val="berschrift4"/>
    <w:uiPriority w:val="9"/>
    <w:rsid w:val="00F240A2"/>
    <w:rPr>
      <w:rFonts w:asciiTheme="majorHAnsi" w:eastAsiaTheme="majorEastAsia" w:hAnsiTheme="majorHAnsi" w:cstheme="majorBidi"/>
      <w:i/>
      <w:iCs/>
      <w:color w:val="2F5496" w:themeColor="accent1" w:themeShade="BF"/>
      <w:sz w:val="24"/>
      <w:szCs w:val="20"/>
      <w:lang w:eastAsia="de-DE"/>
    </w:rPr>
  </w:style>
  <w:style w:type="character" w:customStyle="1" w:styleId="berschrift5Zchn">
    <w:name w:val="Überschrift 5 Zchn"/>
    <w:basedOn w:val="Absatz-Standardschriftart"/>
    <w:link w:val="berschrift5"/>
    <w:uiPriority w:val="9"/>
    <w:semiHidden/>
    <w:rsid w:val="00F240A2"/>
    <w:rPr>
      <w:rFonts w:asciiTheme="majorHAnsi" w:eastAsiaTheme="majorEastAsia" w:hAnsiTheme="majorHAnsi" w:cstheme="majorBidi"/>
      <w:color w:val="2F5496" w:themeColor="accent1" w:themeShade="BF"/>
      <w:sz w:val="24"/>
      <w:szCs w:val="20"/>
      <w:lang w:eastAsia="de-DE"/>
    </w:rPr>
  </w:style>
  <w:style w:type="character" w:customStyle="1" w:styleId="berschrift6Zchn">
    <w:name w:val="Überschrift 6 Zchn"/>
    <w:basedOn w:val="Absatz-Standardschriftart"/>
    <w:link w:val="berschrift6"/>
    <w:uiPriority w:val="9"/>
    <w:semiHidden/>
    <w:rsid w:val="00F240A2"/>
    <w:rPr>
      <w:rFonts w:asciiTheme="majorHAnsi" w:eastAsiaTheme="majorEastAsia" w:hAnsiTheme="majorHAnsi" w:cstheme="majorBidi"/>
      <w:color w:val="1F3763" w:themeColor="accent1" w:themeShade="7F"/>
      <w:sz w:val="24"/>
      <w:szCs w:val="20"/>
      <w:lang w:eastAsia="de-DE"/>
    </w:rPr>
  </w:style>
  <w:style w:type="character" w:customStyle="1" w:styleId="berschrift7Zchn">
    <w:name w:val="Überschrift 7 Zchn"/>
    <w:basedOn w:val="Absatz-Standardschriftart"/>
    <w:link w:val="berschrift7"/>
    <w:uiPriority w:val="9"/>
    <w:semiHidden/>
    <w:rsid w:val="00F240A2"/>
    <w:rPr>
      <w:rFonts w:asciiTheme="majorHAnsi" w:eastAsiaTheme="majorEastAsia" w:hAnsiTheme="majorHAnsi" w:cstheme="majorBidi"/>
      <w:i/>
      <w:iCs/>
      <w:color w:val="1F3763" w:themeColor="accent1" w:themeShade="7F"/>
      <w:sz w:val="24"/>
      <w:szCs w:val="20"/>
      <w:lang w:eastAsia="de-DE"/>
    </w:rPr>
  </w:style>
  <w:style w:type="character" w:customStyle="1" w:styleId="berschrift8Zchn">
    <w:name w:val="Überschrift 8 Zchn"/>
    <w:basedOn w:val="Absatz-Standardschriftart"/>
    <w:link w:val="berschrift8"/>
    <w:uiPriority w:val="9"/>
    <w:semiHidden/>
    <w:rsid w:val="00F240A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F240A2"/>
    <w:rPr>
      <w:rFonts w:asciiTheme="majorHAnsi" w:eastAsiaTheme="majorEastAsia" w:hAnsiTheme="majorHAnsi" w:cstheme="majorBidi"/>
      <w:i/>
      <w:iCs/>
      <w:color w:val="272727" w:themeColor="text1" w:themeTint="D8"/>
      <w:sz w:val="21"/>
      <w:szCs w:val="21"/>
      <w:lang w:eastAsia="de-DE"/>
    </w:rPr>
  </w:style>
  <w:style w:type="paragraph" w:customStyle="1" w:styleId="oj-normal">
    <w:name w:val="oj-normal"/>
    <w:basedOn w:val="Standard"/>
    <w:rsid w:val="002E7F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j-sub">
    <w:name w:val="oj-sub"/>
    <w:basedOn w:val="Absatz-Standardschriftart"/>
    <w:rsid w:val="002E7F8C"/>
  </w:style>
  <w:style w:type="numbering" w:customStyle="1" w:styleId="Formatvorlage1">
    <w:name w:val="Formatvorlage1"/>
    <w:uiPriority w:val="99"/>
    <w:rsid w:val="004170E2"/>
    <w:pPr>
      <w:numPr>
        <w:numId w:val="18"/>
      </w:numPr>
    </w:pPr>
  </w:style>
  <w:style w:type="character" w:styleId="Platzhaltertext">
    <w:name w:val="Placeholder Text"/>
    <w:basedOn w:val="Absatz-Standardschriftart"/>
    <w:uiPriority w:val="99"/>
    <w:semiHidden/>
    <w:rsid w:val="005F33A7"/>
    <w:rPr>
      <w:color w:val="808080"/>
    </w:rPr>
  </w:style>
  <w:style w:type="paragraph" w:styleId="Inhaltsverzeichnisberschrift">
    <w:name w:val="TOC Heading"/>
    <w:basedOn w:val="berschrift1"/>
    <w:next w:val="Standard"/>
    <w:uiPriority w:val="39"/>
    <w:unhideWhenUsed/>
    <w:qFormat/>
    <w:rsid w:val="00D175BA"/>
    <w:pPr>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3143">
      <w:bodyDiv w:val="1"/>
      <w:marLeft w:val="0"/>
      <w:marRight w:val="0"/>
      <w:marTop w:val="0"/>
      <w:marBottom w:val="0"/>
      <w:divBdr>
        <w:top w:val="none" w:sz="0" w:space="0" w:color="auto"/>
        <w:left w:val="none" w:sz="0" w:space="0" w:color="auto"/>
        <w:bottom w:val="none" w:sz="0" w:space="0" w:color="auto"/>
        <w:right w:val="none" w:sz="0" w:space="0" w:color="auto"/>
      </w:divBdr>
    </w:div>
    <w:div w:id="82922682">
      <w:bodyDiv w:val="1"/>
      <w:marLeft w:val="0"/>
      <w:marRight w:val="0"/>
      <w:marTop w:val="0"/>
      <w:marBottom w:val="0"/>
      <w:divBdr>
        <w:top w:val="none" w:sz="0" w:space="0" w:color="auto"/>
        <w:left w:val="none" w:sz="0" w:space="0" w:color="auto"/>
        <w:bottom w:val="none" w:sz="0" w:space="0" w:color="auto"/>
        <w:right w:val="none" w:sz="0" w:space="0" w:color="auto"/>
      </w:divBdr>
    </w:div>
    <w:div w:id="85470034">
      <w:bodyDiv w:val="1"/>
      <w:marLeft w:val="0"/>
      <w:marRight w:val="0"/>
      <w:marTop w:val="0"/>
      <w:marBottom w:val="0"/>
      <w:divBdr>
        <w:top w:val="none" w:sz="0" w:space="0" w:color="auto"/>
        <w:left w:val="none" w:sz="0" w:space="0" w:color="auto"/>
        <w:bottom w:val="none" w:sz="0" w:space="0" w:color="auto"/>
        <w:right w:val="none" w:sz="0" w:space="0" w:color="auto"/>
      </w:divBdr>
      <w:divsChild>
        <w:div w:id="537593656">
          <w:marLeft w:val="0"/>
          <w:marRight w:val="0"/>
          <w:marTop w:val="0"/>
          <w:marBottom w:val="0"/>
          <w:divBdr>
            <w:top w:val="none" w:sz="0" w:space="0" w:color="auto"/>
            <w:left w:val="none" w:sz="0" w:space="0" w:color="auto"/>
            <w:bottom w:val="none" w:sz="0" w:space="0" w:color="auto"/>
            <w:right w:val="none" w:sz="0" w:space="0" w:color="auto"/>
          </w:divBdr>
        </w:div>
        <w:div w:id="1041785001">
          <w:marLeft w:val="0"/>
          <w:marRight w:val="0"/>
          <w:marTop w:val="0"/>
          <w:marBottom w:val="0"/>
          <w:divBdr>
            <w:top w:val="none" w:sz="0" w:space="0" w:color="auto"/>
            <w:left w:val="none" w:sz="0" w:space="0" w:color="auto"/>
            <w:bottom w:val="none" w:sz="0" w:space="0" w:color="auto"/>
            <w:right w:val="none" w:sz="0" w:space="0" w:color="auto"/>
          </w:divBdr>
        </w:div>
        <w:div w:id="1409424371">
          <w:marLeft w:val="0"/>
          <w:marRight w:val="0"/>
          <w:marTop w:val="0"/>
          <w:marBottom w:val="0"/>
          <w:divBdr>
            <w:top w:val="none" w:sz="0" w:space="0" w:color="auto"/>
            <w:left w:val="none" w:sz="0" w:space="0" w:color="auto"/>
            <w:bottom w:val="none" w:sz="0" w:space="0" w:color="auto"/>
            <w:right w:val="none" w:sz="0" w:space="0" w:color="auto"/>
          </w:divBdr>
        </w:div>
        <w:div w:id="1517962260">
          <w:marLeft w:val="0"/>
          <w:marRight w:val="0"/>
          <w:marTop w:val="0"/>
          <w:marBottom w:val="0"/>
          <w:divBdr>
            <w:top w:val="none" w:sz="0" w:space="0" w:color="auto"/>
            <w:left w:val="none" w:sz="0" w:space="0" w:color="auto"/>
            <w:bottom w:val="none" w:sz="0" w:space="0" w:color="auto"/>
            <w:right w:val="none" w:sz="0" w:space="0" w:color="auto"/>
          </w:divBdr>
        </w:div>
        <w:div w:id="1926764574">
          <w:marLeft w:val="0"/>
          <w:marRight w:val="0"/>
          <w:marTop w:val="0"/>
          <w:marBottom w:val="0"/>
          <w:divBdr>
            <w:top w:val="none" w:sz="0" w:space="0" w:color="auto"/>
            <w:left w:val="none" w:sz="0" w:space="0" w:color="auto"/>
            <w:bottom w:val="none" w:sz="0" w:space="0" w:color="auto"/>
            <w:right w:val="none" w:sz="0" w:space="0" w:color="auto"/>
          </w:divBdr>
        </w:div>
        <w:div w:id="2000033574">
          <w:marLeft w:val="0"/>
          <w:marRight w:val="0"/>
          <w:marTop w:val="0"/>
          <w:marBottom w:val="0"/>
          <w:divBdr>
            <w:top w:val="none" w:sz="0" w:space="0" w:color="auto"/>
            <w:left w:val="none" w:sz="0" w:space="0" w:color="auto"/>
            <w:bottom w:val="none" w:sz="0" w:space="0" w:color="auto"/>
            <w:right w:val="none" w:sz="0" w:space="0" w:color="auto"/>
          </w:divBdr>
        </w:div>
      </w:divsChild>
    </w:div>
    <w:div w:id="443619754">
      <w:bodyDiv w:val="1"/>
      <w:marLeft w:val="0"/>
      <w:marRight w:val="0"/>
      <w:marTop w:val="0"/>
      <w:marBottom w:val="0"/>
      <w:divBdr>
        <w:top w:val="none" w:sz="0" w:space="0" w:color="auto"/>
        <w:left w:val="none" w:sz="0" w:space="0" w:color="auto"/>
        <w:bottom w:val="none" w:sz="0" w:space="0" w:color="auto"/>
        <w:right w:val="none" w:sz="0" w:space="0" w:color="auto"/>
      </w:divBdr>
      <w:divsChild>
        <w:div w:id="124736864">
          <w:marLeft w:val="0"/>
          <w:marRight w:val="0"/>
          <w:marTop w:val="0"/>
          <w:marBottom w:val="0"/>
          <w:divBdr>
            <w:top w:val="none" w:sz="0" w:space="0" w:color="auto"/>
            <w:left w:val="none" w:sz="0" w:space="0" w:color="auto"/>
            <w:bottom w:val="none" w:sz="0" w:space="0" w:color="auto"/>
            <w:right w:val="none" w:sz="0" w:space="0" w:color="auto"/>
          </w:divBdr>
        </w:div>
        <w:div w:id="1622834659">
          <w:marLeft w:val="0"/>
          <w:marRight w:val="0"/>
          <w:marTop w:val="0"/>
          <w:marBottom w:val="0"/>
          <w:divBdr>
            <w:top w:val="none" w:sz="0" w:space="0" w:color="auto"/>
            <w:left w:val="none" w:sz="0" w:space="0" w:color="auto"/>
            <w:bottom w:val="none" w:sz="0" w:space="0" w:color="auto"/>
            <w:right w:val="none" w:sz="0" w:space="0" w:color="auto"/>
          </w:divBdr>
        </w:div>
      </w:divsChild>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594245964">
      <w:bodyDiv w:val="1"/>
      <w:marLeft w:val="0"/>
      <w:marRight w:val="0"/>
      <w:marTop w:val="0"/>
      <w:marBottom w:val="0"/>
      <w:divBdr>
        <w:top w:val="none" w:sz="0" w:space="0" w:color="auto"/>
        <w:left w:val="none" w:sz="0" w:space="0" w:color="auto"/>
        <w:bottom w:val="none" w:sz="0" w:space="0" w:color="auto"/>
        <w:right w:val="none" w:sz="0" w:space="0" w:color="auto"/>
      </w:divBdr>
    </w:div>
    <w:div w:id="636421482">
      <w:bodyDiv w:val="1"/>
      <w:marLeft w:val="0"/>
      <w:marRight w:val="0"/>
      <w:marTop w:val="0"/>
      <w:marBottom w:val="0"/>
      <w:divBdr>
        <w:top w:val="none" w:sz="0" w:space="0" w:color="auto"/>
        <w:left w:val="none" w:sz="0" w:space="0" w:color="auto"/>
        <w:bottom w:val="none" w:sz="0" w:space="0" w:color="auto"/>
        <w:right w:val="none" w:sz="0" w:space="0" w:color="auto"/>
      </w:divBdr>
    </w:div>
    <w:div w:id="748892623">
      <w:bodyDiv w:val="1"/>
      <w:marLeft w:val="0"/>
      <w:marRight w:val="0"/>
      <w:marTop w:val="0"/>
      <w:marBottom w:val="0"/>
      <w:divBdr>
        <w:top w:val="none" w:sz="0" w:space="0" w:color="auto"/>
        <w:left w:val="none" w:sz="0" w:space="0" w:color="auto"/>
        <w:bottom w:val="none" w:sz="0" w:space="0" w:color="auto"/>
        <w:right w:val="none" w:sz="0" w:space="0" w:color="auto"/>
      </w:divBdr>
    </w:div>
    <w:div w:id="774135546">
      <w:bodyDiv w:val="1"/>
      <w:marLeft w:val="0"/>
      <w:marRight w:val="0"/>
      <w:marTop w:val="0"/>
      <w:marBottom w:val="0"/>
      <w:divBdr>
        <w:top w:val="none" w:sz="0" w:space="0" w:color="auto"/>
        <w:left w:val="none" w:sz="0" w:space="0" w:color="auto"/>
        <w:bottom w:val="none" w:sz="0" w:space="0" w:color="auto"/>
        <w:right w:val="none" w:sz="0" w:space="0" w:color="auto"/>
      </w:divBdr>
    </w:div>
    <w:div w:id="921987304">
      <w:bodyDiv w:val="1"/>
      <w:marLeft w:val="0"/>
      <w:marRight w:val="0"/>
      <w:marTop w:val="0"/>
      <w:marBottom w:val="0"/>
      <w:divBdr>
        <w:top w:val="none" w:sz="0" w:space="0" w:color="auto"/>
        <w:left w:val="none" w:sz="0" w:space="0" w:color="auto"/>
        <w:bottom w:val="none" w:sz="0" w:space="0" w:color="auto"/>
        <w:right w:val="none" w:sz="0" w:space="0" w:color="auto"/>
      </w:divBdr>
    </w:div>
    <w:div w:id="1132560301">
      <w:bodyDiv w:val="1"/>
      <w:marLeft w:val="0"/>
      <w:marRight w:val="0"/>
      <w:marTop w:val="0"/>
      <w:marBottom w:val="0"/>
      <w:divBdr>
        <w:top w:val="none" w:sz="0" w:space="0" w:color="auto"/>
        <w:left w:val="none" w:sz="0" w:space="0" w:color="auto"/>
        <w:bottom w:val="none" w:sz="0" w:space="0" w:color="auto"/>
        <w:right w:val="none" w:sz="0" w:space="0" w:color="auto"/>
      </w:divBdr>
    </w:div>
    <w:div w:id="1153987451">
      <w:bodyDiv w:val="1"/>
      <w:marLeft w:val="0"/>
      <w:marRight w:val="0"/>
      <w:marTop w:val="0"/>
      <w:marBottom w:val="0"/>
      <w:divBdr>
        <w:top w:val="none" w:sz="0" w:space="0" w:color="auto"/>
        <w:left w:val="none" w:sz="0" w:space="0" w:color="auto"/>
        <w:bottom w:val="none" w:sz="0" w:space="0" w:color="auto"/>
        <w:right w:val="none" w:sz="0" w:space="0" w:color="auto"/>
      </w:divBdr>
    </w:div>
    <w:div w:id="1230923505">
      <w:bodyDiv w:val="1"/>
      <w:marLeft w:val="0"/>
      <w:marRight w:val="0"/>
      <w:marTop w:val="0"/>
      <w:marBottom w:val="0"/>
      <w:divBdr>
        <w:top w:val="none" w:sz="0" w:space="0" w:color="auto"/>
        <w:left w:val="none" w:sz="0" w:space="0" w:color="auto"/>
        <w:bottom w:val="none" w:sz="0" w:space="0" w:color="auto"/>
        <w:right w:val="none" w:sz="0" w:space="0" w:color="auto"/>
      </w:divBdr>
    </w:div>
    <w:div w:id="1273824736">
      <w:bodyDiv w:val="1"/>
      <w:marLeft w:val="0"/>
      <w:marRight w:val="0"/>
      <w:marTop w:val="0"/>
      <w:marBottom w:val="0"/>
      <w:divBdr>
        <w:top w:val="none" w:sz="0" w:space="0" w:color="auto"/>
        <w:left w:val="none" w:sz="0" w:space="0" w:color="auto"/>
        <w:bottom w:val="none" w:sz="0" w:space="0" w:color="auto"/>
        <w:right w:val="none" w:sz="0" w:space="0" w:color="auto"/>
      </w:divBdr>
    </w:div>
    <w:div w:id="1346975222">
      <w:bodyDiv w:val="1"/>
      <w:marLeft w:val="0"/>
      <w:marRight w:val="0"/>
      <w:marTop w:val="0"/>
      <w:marBottom w:val="0"/>
      <w:divBdr>
        <w:top w:val="none" w:sz="0" w:space="0" w:color="auto"/>
        <w:left w:val="none" w:sz="0" w:space="0" w:color="auto"/>
        <w:bottom w:val="none" w:sz="0" w:space="0" w:color="auto"/>
        <w:right w:val="none" w:sz="0" w:space="0" w:color="auto"/>
      </w:divBdr>
    </w:div>
    <w:div w:id="1430082792">
      <w:bodyDiv w:val="1"/>
      <w:marLeft w:val="0"/>
      <w:marRight w:val="0"/>
      <w:marTop w:val="0"/>
      <w:marBottom w:val="0"/>
      <w:divBdr>
        <w:top w:val="none" w:sz="0" w:space="0" w:color="auto"/>
        <w:left w:val="none" w:sz="0" w:space="0" w:color="auto"/>
        <w:bottom w:val="none" w:sz="0" w:space="0" w:color="auto"/>
        <w:right w:val="none" w:sz="0" w:space="0" w:color="auto"/>
      </w:divBdr>
    </w:div>
    <w:div w:id="1436973378">
      <w:bodyDiv w:val="1"/>
      <w:marLeft w:val="0"/>
      <w:marRight w:val="0"/>
      <w:marTop w:val="0"/>
      <w:marBottom w:val="0"/>
      <w:divBdr>
        <w:top w:val="none" w:sz="0" w:space="0" w:color="auto"/>
        <w:left w:val="none" w:sz="0" w:space="0" w:color="auto"/>
        <w:bottom w:val="none" w:sz="0" w:space="0" w:color="auto"/>
        <w:right w:val="none" w:sz="0" w:space="0" w:color="auto"/>
      </w:divBdr>
    </w:div>
    <w:div w:id="1462113014">
      <w:bodyDiv w:val="1"/>
      <w:marLeft w:val="0"/>
      <w:marRight w:val="0"/>
      <w:marTop w:val="0"/>
      <w:marBottom w:val="0"/>
      <w:divBdr>
        <w:top w:val="none" w:sz="0" w:space="0" w:color="auto"/>
        <w:left w:val="none" w:sz="0" w:space="0" w:color="auto"/>
        <w:bottom w:val="none" w:sz="0" w:space="0" w:color="auto"/>
        <w:right w:val="none" w:sz="0" w:space="0" w:color="auto"/>
      </w:divBdr>
    </w:div>
    <w:div w:id="1634409821">
      <w:bodyDiv w:val="1"/>
      <w:marLeft w:val="0"/>
      <w:marRight w:val="0"/>
      <w:marTop w:val="0"/>
      <w:marBottom w:val="0"/>
      <w:divBdr>
        <w:top w:val="none" w:sz="0" w:space="0" w:color="auto"/>
        <w:left w:val="none" w:sz="0" w:space="0" w:color="auto"/>
        <w:bottom w:val="none" w:sz="0" w:space="0" w:color="auto"/>
        <w:right w:val="none" w:sz="0" w:space="0" w:color="auto"/>
      </w:divBdr>
    </w:div>
    <w:div w:id="1731807172">
      <w:bodyDiv w:val="1"/>
      <w:marLeft w:val="0"/>
      <w:marRight w:val="0"/>
      <w:marTop w:val="0"/>
      <w:marBottom w:val="0"/>
      <w:divBdr>
        <w:top w:val="none" w:sz="0" w:space="0" w:color="auto"/>
        <w:left w:val="none" w:sz="0" w:space="0" w:color="auto"/>
        <w:bottom w:val="none" w:sz="0" w:space="0" w:color="auto"/>
        <w:right w:val="none" w:sz="0" w:space="0" w:color="auto"/>
      </w:divBdr>
    </w:div>
    <w:div w:id="1899125282">
      <w:bodyDiv w:val="1"/>
      <w:marLeft w:val="0"/>
      <w:marRight w:val="0"/>
      <w:marTop w:val="0"/>
      <w:marBottom w:val="0"/>
      <w:divBdr>
        <w:top w:val="none" w:sz="0" w:space="0" w:color="auto"/>
        <w:left w:val="none" w:sz="0" w:space="0" w:color="auto"/>
        <w:bottom w:val="none" w:sz="0" w:space="0" w:color="auto"/>
        <w:right w:val="none" w:sz="0" w:space="0" w:color="auto"/>
      </w:divBdr>
    </w:div>
    <w:div w:id="1997563127">
      <w:bodyDiv w:val="1"/>
      <w:marLeft w:val="0"/>
      <w:marRight w:val="0"/>
      <w:marTop w:val="0"/>
      <w:marBottom w:val="0"/>
      <w:divBdr>
        <w:top w:val="none" w:sz="0" w:space="0" w:color="auto"/>
        <w:left w:val="none" w:sz="0" w:space="0" w:color="auto"/>
        <w:bottom w:val="none" w:sz="0" w:space="0" w:color="auto"/>
        <w:right w:val="none" w:sz="0" w:space="0" w:color="auto"/>
      </w:divBdr>
    </w:div>
    <w:div w:id="20442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limaschutz-industri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AUTO/?uri=celex:32023R0857" TargetMode="External"/><Relationship Id="rId1" Type="http://schemas.openxmlformats.org/officeDocument/2006/relationships/hyperlink" Target="https://eur-lex.europa.eu/legal-content/DE/AUTO/?uri=celex:32023R043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kument" ma:contentTypeID="0x0101008BE2CFC7F7B95A43B87D85623D465EB2" ma:contentTypeVersion="2" ma:contentTypeDescription="Ein neues Dokument erstellen." ma:contentTypeScope="" ma:versionID="6e6083a651fb642d33b8e95621f92d2b">
  <xsd:schema xmlns:xsd="http://www.w3.org/2001/XMLSchema" xmlns:xs="http://www.w3.org/2001/XMLSchema" xmlns:p="http://schemas.microsoft.com/office/2006/metadata/properties" xmlns:ns2="60eeeb63-bcea-4fa2-8ee7-fb9838ee2eec" xmlns:ns3="bf9a68b4-915a-422a-90f3-79a37b2ecede" targetNamespace="http://schemas.microsoft.com/office/2006/metadata/properties" ma:root="true" ma:fieldsID="1a69fb2c10370716e8e4184bd1cab740" ns2:_="" ns3:_="">
    <xsd:import namespace="60eeeb63-bcea-4fa2-8ee7-fb9838ee2eec"/>
    <xsd:import namespace="bf9a68b4-915a-422a-90f3-79a37b2ecede"/>
    <xsd:element name="properties">
      <xsd:complexType>
        <xsd:sequence>
          <xsd:element name="documentManagement">
            <xsd:complexType>
              <xsd:all>
                <xsd:element ref="ns2:pf10440bffca444786ff5281520ef34b"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eeb63-bcea-4fa2-8ee7-fb9838ee2eec" elementFormDefault="qualified">
    <xsd:import namespace="http://schemas.microsoft.com/office/2006/documentManagement/types"/>
    <xsd:import namespace="http://schemas.microsoft.com/office/infopath/2007/PartnerControls"/>
    <xsd:element name="pf10440bffca444786ff5281520ef34b" ma:index="8" nillable="true" ma:taxonomy="true" ma:internalName="pf10440bffca444786ff5281520ef34b" ma:taxonomyFieldName="SiteCollectionTag" ma:displayName="SiteCollectionTag" ma:readOnly="false" ma:default="3;#BMWK|c9e1a641-5172-4358-911e-f68352a41f5a" ma:fieldId="{9f10440b-ffca-4447-86ff-5281520ef34b}" ma:sspId="af39049a-0891-4d8d-aea0-3fa421e21a8d" ma:termSetId="8e54212d-1cb4-4e18-b982-f191ddbfb5d3"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0FEB16A-E2C7-44AC-90B3-9D7666799694}" ma:internalName="TaxCatchAll" ma:showField="CatchAllData" ma:web="{bf9a68b4-915a-422a-90f3-79a37b2ece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FEB16A-E2C7-44AC-90B3-9D7666799694}" ma:internalName="TaxCatchAllLabel" ma:readOnly="true" ma:showField="CatchAllDataLabel" ma:web="{bf9a68b4-915a-422a-90f3-79a37b2ec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a68b4-915a-422a-90f3-79a37b2eced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eeeb63-bcea-4fa2-8ee7-fb9838ee2eec">
      <Value>3</Value>
    </TaxCatchAll>
    <pf10440bffca444786ff5281520ef34b xmlns="60eeeb63-bcea-4fa2-8ee7-fb9838ee2eec">
      <Terms xmlns="http://schemas.microsoft.com/office/infopath/2007/PartnerControls">
        <TermInfo xmlns="http://schemas.microsoft.com/office/infopath/2007/PartnerControls">
          <TermName xmlns="http://schemas.microsoft.com/office/infopath/2007/PartnerControls">BMWK</TermName>
          <TermId xmlns="http://schemas.microsoft.com/office/infopath/2007/PartnerControls">c9e1a641-5172-4358-911e-f68352a41f5a</TermId>
        </TermInfo>
      </Terms>
    </pf10440bffca444786ff5281520ef34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5426-4100-4DCE-8EB2-9659D5563B6F}">
  <ds:schemaRefs>
    <ds:schemaRef ds:uri="http://schemas.microsoft.com/office/2006/metadata/customXsn"/>
  </ds:schemaRefs>
</ds:datastoreItem>
</file>

<file path=customXml/itemProps2.xml><?xml version="1.0" encoding="utf-8"?>
<ds:datastoreItem xmlns:ds="http://schemas.openxmlformats.org/officeDocument/2006/customXml" ds:itemID="{80DB8517-4592-4D9E-A50D-1BDF00F8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eeb63-bcea-4fa2-8ee7-fb9838ee2eec"/>
    <ds:schemaRef ds:uri="bf9a68b4-915a-422a-90f3-79a37b2e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05D3E-CD0A-4851-BDDD-F5AF2BC7DF8C}">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60eeeb63-bcea-4fa2-8ee7-fb9838ee2eec"/>
    <ds:schemaRef ds:uri="http://www.w3.org/XML/1998/namespace"/>
    <ds:schemaRef ds:uri="http://schemas.microsoft.com/office/infopath/2007/PartnerControls"/>
    <ds:schemaRef ds:uri="http://schemas.openxmlformats.org/package/2006/metadata/core-properties"/>
    <ds:schemaRef ds:uri="bf9a68b4-915a-422a-90f3-79a37b2ecede"/>
  </ds:schemaRefs>
</ds:datastoreItem>
</file>

<file path=customXml/itemProps4.xml><?xml version="1.0" encoding="utf-8"?>
<ds:datastoreItem xmlns:ds="http://schemas.openxmlformats.org/officeDocument/2006/customXml" ds:itemID="{5F1B3341-A487-4846-9EC9-144E9B901901}">
  <ds:schemaRefs>
    <ds:schemaRef ds:uri="http://schemas.microsoft.com/sharepoint/v3/contenttype/forms"/>
  </ds:schemaRefs>
</ds:datastoreItem>
</file>

<file path=customXml/itemProps5.xml><?xml version="1.0" encoding="utf-8"?>
<ds:datastoreItem xmlns:ds="http://schemas.openxmlformats.org/officeDocument/2006/customXml" ds:itemID="{2CBAB565-D028-40E7-8C04-F09F2CAF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8853</Words>
  <Characters>55779</Characters>
  <Application>Microsoft Office Word</Application>
  <DocSecurity>0</DocSecurity>
  <Lines>464</Lines>
  <Paragraphs>129</Paragraphs>
  <ScaleCrop>false</ScaleCrop>
  <HeadingPairs>
    <vt:vector size="2" baseType="variant">
      <vt:variant>
        <vt:lpstr>Titel</vt:lpstr>
      </vt:variant>
      <vt:variant>
        <vt:i4>1</vt:i4>
      </vt:variant>
    </vt:vector>
  </HeadingPairs>
  <TitlesOfParts>
    <vt:vector size="1" baseType="lpstr">
      <vt:lpstr/>
    </vt:vector>
  </TitlesOfParts>
  <Company>BMWK</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Kerner, Irina, Dr., VE1</cp:lastModifiedBy>
  <cp:revision>3</cp:revision>
  <cp:lastPrinted>2023-09-19T13:02:00Z</cp:lastPrinted>
  <dcterms:created xsi:type="dcterms:W3CDTF">2023-10-18T13:05:00Z</dcterms:created>
  <dcterms:modified xsi:type="dcterms:W3CDTF">2023-10-20T09:16:00Z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0x0101008BE2CFC7F7B95A43B87D85623D465EB2</vt:lpwstr>
  </property>
  <property fmtid="{D5CDD505-2E9C-101B-9397-08002B2CF9AE}" pid="3" name="SiteCollectionTag">
    <vt:lpwstr>3;#BMWK|c9e1a641-5172-4358-911e-f68352a41f5a</vt:lpwstr>
  </property>
</Properties>
</file>